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8740B7" w:rsidRDefault="00D07CDB" w:rsidP="00CE5A53">
      <w:pPr>
        <w:jc w:val="center"/>
        <w:outlineLvl w:val="0"/>
        <w:rPr>
          <w:rFonts w:eastAsia="Times New Roman"/>
          <w:b/>
          <w:sz w:val="25"/>
          <w:szCs w:val="25"/>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r w:rsidRPr="008740B7">
        <w:rPr>
          <w:rFonts w:eastAsia="Times New Roman"/>
          <w:b/>
          <w:sz w:val="25"/>
          <w:szCs w:val="25"/>
          <w:lang w:val="lv-LV" w:eastAsia="lv-LV"/>
        </w:rPr>
        <w:t>Ministru kabineta noteikumu projekta</w:t>
      </w:r>
      <w:bookmarkStart w:id="8" w:name="OLE_LINK4"/>
      <w:r w:rsidR="00DB3BCB" w:rsidRPr="008740B7">
        <w:rPr>
          <w:rFonts w:eastAsia="Times New Roman"/>
          <w:b/>
          <w:sz w:val="25"/>
          <w:szCs w:val="25"/>
          <w:lang w:val="lv-LV" w:eastAsia="lv-LV"/>
        </w:rPr>
        <w:t xml:space="preserve"> </w:t>
      </w:r>
      <w:r w:rsidR="00F73CBA" w:rsidRPr="008740B7">
        <w:rPr>
          <w:b/>
          <w:sz w:val="25"/>
          <w:szCs w:val="25"/>
          <w:lang w:val="lv-LV"/>
        </w:rPr>
        <w:t xml:space="preserve">„Noteikumi par darbības programmas </w:t>
      </w:r>
      <w:r w:rsidR="0022342D" w:rsidRPr="008740B7">
        <w:rPr>
          <w:b/>
          <w:sz w:val="25"/>
          <w:szCs w:val="25"/>
          <w:lang w:val="lv-LV"/>
        </w:rPr>
        <w:t>„</w:t>
      </w:r>
      <w:r w:rsidR="00F73CBA" w:rsidRPr="008740B7">
        <w:rPr>
          <w:b/>
          <w:sz w:val="25"/>
          <w:szCs w:val="25"/>
          <w:lang w:val="lv-LV"/>
        </w:rPr>
        <w:t>Cilvēkresursi un nodarbinātība</w:t>
      </w:r>
      <w:r w:rsidR="0022342D" w:rsidRPr="008740B7">
        <w:rPr>
          <w:b/>
          <w:sz w:val="25"/>
          <w:szCs w:val="25"/>
          <w:lang w:val="lv-LV"/>
        </w:rPr>
        <w:t>”</w:t>
      </w:r>
      <w:r w:rsidR="00F73CBA" w:rsidRPr="008740B7">
        <w:rPr>
          <w:b/>
          <w:sz w:val="25"/>
          <w:szCs w:val="25"/>
          <w:lang w:val="lv-LV"/>
        </w:rPr>
        <w:t xml:space="preserve"> papildinājuma 1.3.1.1.1.apakšaktivitātes </w:t>
      </w:r>
      <w:r w:rsidR="0022342D" w:rsidRPr="008740B7">
        <w:rPr>
          <w:b/>
          <w:sz w:val="25"/>
          <w:szCs w:val="25"/>
          <w:lang w:val="lv-LV"/>
        </w:rPr>
        <w:t>„</w:t>
      </w:r>
      <w:r w:rsidR="00F73CBA" w:rsidRPr="008740B7">
        <w:rPr>
          <w:b/>
          <w:sz w:val="25"/>
          <w:szCs w:val="25"/>
          <w:lang w:val="lv-LV"/>
        </w:rPr>
        <w:t>Atbalsts nodarbināto apmācībām komersantu konkurētspējas veicināšanai – atbalsts partnerībās organizētām apmācībām</w:t>
      </w:r>
      <w:r w:rsidR="0022342D" w:rsidRPr="008740B7">
        <w:rPr>
          <w:b/>
          <w:sz w:val="25"/>
          <w:szCs w:val="25"/>
          <w:lang w:val="lv-LV"/>
        </w:rPr>
        <w:t>”</w:t>
      </w:r>
      <w:r w:rsidR="00F73CBA" w:rsidRPr="008740B7">
        <w:rPr>
          <w:b/>
          <w:sz w:val="25"/>
          <w:szCs w:val="25"/>
          <w:lang w:val="lv-LV"/>
        </w:rPr>
        <w:t xml:space="preserve"> projektu iesniegumu atlases </w:t>
      </w:r>
      <w:r w:rsidR="0022342D" w:rsidRPr="008740B7">
        <w:rPr>
          <w:b/>
          <w:sz w:val="25"/>
          <w:szCs w:val="25"/>
          <w:lang w:val="lv-LV"/>
        </w:rPr>
        <w:t>trešo</w:t>
      </w:r>
      <w:r w:rsidR="00F73CBA" w:rsidRPr="008740B7">
        <w:rPr>
          <w:b/>
          <w:sz w:val="25"/>
          <w:szCs w:val="25"/>
          <w:lang w:val="lv-LV"/>
        </w:rPr>
        <w:t xml:space="preserve"> un turpmākajām kārtām”</w:t>
      </w:r>
      <w:r w:rsidR="007E5D4D" w:rsidRPr="008740B7">
        <w:rPr>
          <w:rFonts w:eastAsia="Times New Roman"/>
          <w:b/>
          <w:sz w:val="25"/>
          <w:szCs w:val="25"/>
          <w:lang w:val="lv-LV" w:eastAsia="lv-LV"/>
        </w:rPr>
        <w:t xml:space="preserve"> sākotnējās ietekmes novērtējuma ziņojums (anotācija)</w:t>
      </w:r>
      <w:bookmarkEnd w:id="0"/>
      <w:bookmarkEnd w:id="1"/>
      <w:bookmarkEnd w:id="8"/>
    </w:p>
    <w:bookmarkEnd w:id="2"/>
    <w:bookmarkEnd w:id="3"/>
    <w:bookmarkEnd w:id="4"/>
    <w:p w:rsidR="004B638C" w:rsidRPr="008740B7" w:rsidRDefault="004B638C" w:rsidP="00CE5A53">
      <w:pPr>
        <w:jc w:val="center"/>
        <w:rPr>
          <w:rFonts w:eastAsia="Times New Roman"/>
          <w:b/>
          <w:sz w:val="25"/>
          <w:szCs w:val="25"/>
          <w:lang w:val="lv-LV" w:eastAsia="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426"/>
        <w:gridCol w:w="1843"/>
        <w:gridCol w:w="6945"/>
      </w:tblGrid>
      <w:tr w:rsidR="00BF1311" w:rsidRPr="000E0E01" w:rsidTr="00BF1311">
        <w:tc>
          <w:tcPr>
            <w:tcW w:w="9214"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5"/>
          <w:bookmarkEnd w:id="6"/>
          <w:bookmarkEnd w:id="7"/>
          <w:p w:rsidR="00BF1311" w:rsidRPr="008740B7" w:rsidRDefault="00BF1311" w:rsidP="00CE5A53">
            <w:pPr>
              <w:jc w:val="center"/>
              <w:rPr>
                <w:rFonts w:eastAsia="Times New Roman"/>
                <w:b/>
                <w:sz w:val="25"/>
                <w:szCs w:val="25"/>
                <w:lang w:val="lv-LV" w:eastAsia="lv-LV"/>
              </w:rPr>
            </w:pPr>
            <w:r w:rsidRPr="008740B7">
              <w:rPr>
                <w:rFonts w:eastAsia="Times New Roman"/>
                <w:b/>
                <w:sz w:val="25"/>
                <w:szCs w:val="25"/>
                <w:lang w:val="lv-LV" w:eastAsia="lv-LV"/>
              </w:rPr>
              <w:t>I.Tiesību akta projekta izstrādes nepieciešamība</w:t>
            </w:r>
          </w:p>
        </w:tc>
      </w:tr>
      <w:tr w:rsidR="00BF1311" w:rsidRPr="000E0E01" w:rsidTr="00BF1311">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22342D">
            <w:pPr>
              <w:ind w:firstLine="567"/>
              <w:jc w:val="both"/>
              <w:rPr>
                <w:sz w:val="25"/>
                <w:szCs w:val="25"/>
                <w:lang w:val="lv-LV"/>
              </w:rPr>
            </w:pPr>
            <w:r w:rsidRPr="008740B7">
              <w:rPr>
                <w:sz w:val="25"/>
                <w:szCs w:val="25"/>
                <w:lang w:val="lv-LV"/>
              </w:rPr>
              <w:t xml:space="preserve">Noteikumu projekts sagatavots, pamatojoties uz Eiropas Savienības struktūrfondu un </w:t>
            </w:r>
            <w:r w:rsidRPr="008740B7">
              <w:rPr>
                <w:sz w:val="25"/>
                <w:szCs w:val="25"/>
                <w:lang w:val="lv-LV"/>
              </w:rPr>
              <w:br/>
              <w:t xml:space="preserve">Kohēzijas fonda vadības likuma </w:t>
            </w:r>
            <w:r w:rsidRPr="008740B7">
              <w:rPr>
                <w:sz w:val="25"/>
                <w:szCs w:val="25"/>
                <w:lang w:val="lv-LV"/>
              </w:rPr>
              <w:br/>
              <w:t>18.panta 10.punktu.</w:t>
            </w:r>
          </w:p>
        </w:tc>
      </w:tr>
      <w:tr w:rsidR="00BF1311" w:rsidRPr="000E0E01" w:rsidTr="00BF1311">
        <w:trPr>
          <w:trHeight w:val="360"/>
        </w:trPr>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22342D">
            <w:pPr>
              <w:ind w:firstLine="567"/>
              <w:jc w:val="both"/>
              <w:rPr>
                <w:sz w:val="25"/>
                <w:szCs w:val="25"/>
                <w:lang w:val="lv-LV"/>
              </w:rPr>
            </w:pPr>
            <w:r w:rsidRPr="008740B7">
              <w:rPr>
                <w:sz w:val="25"/>
                <w:szCs w:val="25"/>
                <w:lang w:val="lv-LV"/>
              </w:rPr>
              <w:t>Latvijā ir būtiska atšķirība informācijas un komunikācijas tehnoloģiju izmantošanas ziņā starp mikro, maziem un vidējiem un lieliem komersantiem. Saskaņā ar Centrālās statistikas pārvaldes apkopoto informāciju 2009.gadā 85.5% lielo komersantu un 62.7% vidējo komersantu bija mājaslapas, savukārt starp mazajiem komersantu tāda bija tikai 37.6% un starp mikro komersantiem 13%. Papildus 2009.gadā 93,1% komersantu izmantoja datorus, bet starp komersantiem ar zem 10 strādājošajiem šis īpatsvars bija vien 64%. Savukārt pamata mājas lapa ar informāciju un kontaktiem par komersantu 2009.gadā bija 42,4% komersantiem, bet starp komersantiem ar zem 10 strādājošajiem šādu komersantu īpatsvars bija vien 13%. Tas liecina par zemu efektivitātes līmeni mikro un mazajos komersantos, kas savukārt rada tiem grūtības pastāvēt un konkurēt ar ārvalstu komersantiem.</w:t>
            </w:r>
          </w:p>
          <w:p w:rsidR="00BF1311" w:rsidRPr="008740B7" w:rsidRDefault="00BF1311" w:rsidP="0044690B">
            <w:pPr>
              <w:ind w:firstLine="567"/>
              <w:jc w:val="both"/>
              <w:rPr>
                <w:sz w:val="25"/>
                <w:szCs w:val="25"/>
                <w:lang w:val="lv-LV"/>
              </w:rPr>
            </w:pPr>
            <w:r w:rsidRPr="008740B7">
              <w:rPr>
                <w:sz w:val="25"/>
                <w:szCs w:val="25"/>
                <w:lang w:val="lv-LV"/>
              </w:rPr>
              <w:t>Tādējādi, lai celtu mikro un mazo komersantu produktivitāti un darba efektivitāti, Ekonomikas ministrija ir izstrādājusi Ministru ka</w:t>
            </w:r>
            <w:r w:rsidR="00F2761A" w:rsidRPr="008740B7">
              <w:rPr>
                <w:sz w:val="25"/>
                <w:szCs w:val="25"/>
                <w:lang w:val="lv-LV"/>
              </w:rPr>
              <w:t>bineta noteikumu projektu, kura</w:t>
            </w:r>
            <w:r w:rsidRPr="008740B7">
              <w:rPr>
                <w:sz w:val="25"/>
                <w:szCs w:val="25"/>
                <w:lang w:val="lv-LV"/>
              </w:rPr>
              <w:t xml:space="preserve"> mērķis ir celt mikro un mazo komersantu produktivitāti un darba efektivitāti, paaugstinot to darbinieku kvalifikāciju un prasmes informācijas un komunikācijas tehnoloģiju jomā, tādejādi nodrošinot komersantu konkurētspējas pieaugumu un veicinot tautsaimniecības attīstību. </w:t>
            </w:r>
          </w:p>
          <w:p w:rsidR="00BF1311" w:rsidRPr="008740B7" w:rsidRDefault="00BF1311" w:rsidP="0022342D">
            <w:pPr>
              <w:ind w:firstLine="720"/>
              <w:jc w:val="both"/>
              <w:rPr>
                <w:sz w:val="25"/>
                <w:szCs w:val="25"/>
                <w:lang w:val="lv-LV"/>
              </w:rPr>
            </w:pPr>
            <w:r w:rsidRPr="008740B7">
              <w:rPr>
                <w:sz w:val="25"/>
                <w:szCs w:val="25"/>
                <w:lang w:val="lv-LV"/>
              </w:rPr>
              <w:t xml:space="preserve">Saskaņā ar 2010.gada Ekonomikas ministrijas Ziņojumu par Latvijas tautsaimniecības attīstību 2009.gadā Latvijā provizoriski bija 71 tūkstotis ekonomiski aktīvi individuālie komersanti un komercsabiedrības, no kuriem 68 586 atbilst mikro un mazo komersantu statusam. Līdz ar to mērķa grupas loks 1.3.1.1.1.apakšaktivitātes „Atbalsts nodarbināto apmācībām komersantu konkurētspējas veicināšanai – atbalsts partnerībās organizētām apmācībām” (turpmāk – 1.3.1.1.1.aktivitāte) trešās kārtas ietvaros ir ļoti plašs un vairakkārt pārsniedz paredzamo apmācībās </w:t>
            </w:r>
            <w:r w:rsidR="0054474D" w:rsidRPr="008740B7">
              <w:rPr>
                <w:sz w:val="25"/>
                <w:szCs w:val="25"/>
                <w:lang w:val="lv-LV"/>
              </w:rPr>
              <w:t xml:space="preserve">iespējami </w:t>
            </w:r>
            <w:r w:rsidRPr="008740B7">
              <w:rPr>
                <w:sz w:val="25"/>
                <w:szCs w:val="25"/>
                <w:lang w:val="lv-LV"/>
              </w:rPr>
              <w:t xml:space="preserve">iesaistīto komersantu skaitu. 1.3.1.1.1.aktivitātes trešās kārtas ietvaros ir sagaidāma plaša komersantu interese, tā kā dažādu informācijas un komunikācijas tehnoloģijas risinājumu ieviešana var būtiski atvieglot komersanta ikdienas darbību veikšanu (grāmatvedības kārtošanu, darba atskaišu gatavošanu, komunikāciju, gada pārskatu iesniegšanu, informācijas </w:t>
            </w:r>
            <w:r w:rsidRPr="008740B7">
              <w:rPr>
                <w:sz w:val="25"/>
                <w:szCs w:val="25"/>
                <w:lang w:val="lv-LV"/>
              </w:rPr>
              <w:lastRenderedPageBreak/>
              <w:t xml:space="preserve">iegūšanu, lietvedības organizēšanu u.c.), kam bieži tiek izmantots neadekvāti liels resursu patēriņš un, kas kavē komersantu nodarboties aktīvāk ar tā pamatdarbības lietām. </w:t>
            </w:r>
          </w:p>
          <w:p w:rsidR="00BF1311" w:rsidRPr="008740B7" w:rsidRDefault="00BF1311" w:rsidP="0022342D">
            <w:pPr>
              <w:ind w:firstLine="720"/>
              <w:jc w:val="both"/>
              <w:rPr>
                <w:sz w:val="25"/>
                <w:szCs w:val="25"/>
                <w:lang w:val="lv-LV"/>
              </w:rPr>
            </w:pPr>
            <w:r w:rsidRPr="008740B7">
              <w:rPr>
                <w:sz w:val="25"/>
                <w:szCs w:val="25"/>
                <w:lang w:val="lv-LV"/>
              </w:rPr>
              <w:t xml:space="preserve">Vienlaikus šādas atbalsta programmas ieviešana veidotu sinerģiju ar Ekonomikas ministrijas pašlaik īstenotajiem atbalsta pasākumiem mikro komersantiem, kas ir apstiprināti ar Ministru kabineta 2009.gada 30.oktobra rīkojumu Nr. 748. par „Koncepcija par mikrouzņēmumu atbalsta pasākumiem”, kas ir orientēta uz mikro komersantu atbalstīšanu un, kur viena no prioritātēm ir panākt, lai mikro komersants pats ir spējīgs sakārtot savu grāmatvedību. Šim mērķim pēc Ekonomikas ministrijas pasūtījuma jau ir izstrādātas </w:t>
            </w:r>
            <w:r w:rsidR="00EC4B9A" w:rsidRPr="008740B7">
              <w:rPr>
                <w:sz w:val="25"/>
                <w:szCs w:val="25"/>
                <w:lang w:val="lv-LV"/>
              </w:rPr>
              <w:t>četras</w:t>
            </w:r>
            <w:r w:rsidRPr="008740B7">
              <w:rPr>
                <w:sz w:val="25"/>
                <w:szCs w:val="25"/>
                <w:lang w:val="lv-LV"/>
              </w:rPr>
              <w:t xml:space="preserve"> grāmatvedības programmas, kas mikro komersantiem ir bezmaksas, taču joprojām ir aktuāls jautājums par komersanta nepilnīgajām zināšanām šādu programmu izmantošanai.</w:t>
            </w:r>
          </w:p>
          <w:p w:rsidR="00BF1311" w:rsidRPr="008740B7" w:rsidRDefault="00BF1311" w:rsidP="0022342D">
            <w:pPr>
              <w:ind w:firstLine="720"/>
              <w:jc w:val="both"/>
              <w:rPr>
                <w:rFonts w:eastAsia="Times New Roman"/>
                <w:color w:val="000000" w:themeColor="text1"/>
                <w:sz w:val="25"/>
                <w:szCs w:val="25"/>
                <w:lang w:val="lv-LV" w:eastAsia="lv-LV"/>
              </w:rPr>
            </w:pPr>
            <w:r w:rsidRPr="008740B7">
              <w:rPr>
                <w:color w:val="000000" w:themeColor="text1"/>
                <w:sz w:val="25"/>
                <w:szCs w:val="25"/>
                <w:lang w:val="lv-LV"/>
              </w:rPr>
              <w:t>Papildus informācijas un komunikācijas tehnoloģiju prioritārā nozīme ir atspoguļota 2010.gada 17.jūnijā Eiropadomes apstiprinātajā „</w:t>
            </w:r>
            <w:hyperlink r:id="rId8" w:tgtFrame="_blank" w:history="1">
              <w:r w:rsidRPr="008740B7">
                <w:rPr>
                  <w:rStyle w:val="Hyperlink"/>
                  <w:color w:val="000000" w:themeColor="text1"/>
                  <w:sz w:val="25"/>
                  <w:szCs w:val="25"/>
                  <w:u w:val="none"/>
                  <w:lang w:val="lv-LV"/>
                </w:rPr>
                <w:t>Digitālā programma Eiropai</w:t>
              </w:r>
            </w:hyperlink>
            <w:r w:rsidRPr="008740B7">
              <w:rPr>
                <w:color w:val="000000" w:themeColor="text1"/>
                <w:sz w:val="25"/>
                <w:szCs w:val="25"/>
                <w:lang w:val="lv-LV"/>
              </w:rPr>
              <w:t xml:space="preserve">”, kas ir viena no </w:t>
            </w:r>
            <w:hyperlink r:id="rId9" w:history="1">
              <w:r w:rsidRPr="008740B7">
                <w:rPr>
                  <w:rStyle w:val="Hyperlink"/>
                  <w:color w:val="000000" w:themeColor="text1"/>
                  <w:sz w:val="25"/>
                  <w:szCs w:val="25"/>
                  <w:u w:val="none"/>
                  <w:lang w:val="lv-LV"/>
                </w:rPr>
                <w:t>Stratēģijas „ES 2020</w:t>
              </w:r>
            </w:hyperlink>
            <w:r w:rsidRPr="008740B7">
              <w:rPr>
                <w:color w:val="000000" w:themeColor="text1"/>
                <w:sz w:val="25"/>
                <w:szCs w:val="25"/>
                <w:lang w:val="lv-LV"/>
              </w:rPr>
              <w:t xml:space="preserve">” </w:t>
            </w:r>
            <w:proofErr w:type="spellStart"/>
            <w:r w:rsidRPr="008740B7">
              <w:rPr>
                <w:color w:val="000000" w:themeColor="text1"/>
                <w:sz w:val="25"/>
                <w:szCs w:val="25"/>
                <w:lang w:val="lv-LV"/>
              </w:rPr>
              <w:t>parauginiciatīvām</w:t>
            </w:r>
            <w:proofErr w:type="spellEnd"/>
            <w:r w:rsidRPr="008740B7">
              <w:rPr>
                <w:color w:val="000000" w:themeColor="text1"/>
                <w:sz w:val="25"/>
                <w:szCs w:val="25"/>
                <w:lang w:val="lv-LV"/>
              </w:rPr>
              <w:t xml:space="preserve"> un koncentrējas uz 21.gadsimta tehnoloģijām un tiešsaistes pakalpojumiem.</w:t>
            </w:r>
            <w:r w:rsidRPr="008740B7">
              <w:rPr>
                <w:rFonts w:eastAsia="Times New Roman"/>
                <w:color w:val="000000" w:themeColor="text1"/>
                <w:sz w:val="25"/>
                <w:szCs w:val="25"/>
                <w:lang w:val="lv-LV" w:eastAsia="lv-LV"/>
              </w:rPr>
              <w:t xml:space="preserve"> Digitālajā programmā Eiropai ir uzsvērts, ka e-prasmes kļūst par būtisku dzīves nepieciešamību un nespēja piekļūt vai izmantot informācijas un komunikācijas tehnoloģijas faktiski ir šķērslis sociālajai integrācijai un personīgajai attīstībai, kas kavē konkurētspējas pieaugumu, ekonomikas attīstību un sabiedrības izaugsmi. </w:t>
            </w:r>
          </w:p>
          <w:p w:rsidR="00BF1311" w:rsidRPr="008740B7" w:rsidRDefault="00BF1311" w:rsidP="0044690B">
            <w:pPr>
              <w:ind w:firstLine="720"/>
              <w:jc w:val="both"/>
              <w:rPr>
                <w:sz w:val="25"/>
                <w:szCs w:val="25"/>
                <w:lang w:val="lv-LV"/>
              </w:rPr>
            </w:pPr>
            <w:r w:rsidRPr="008740B7">
              <w:rPr>
                <w:sz w:val="25"/>
                <w:szCs w:val="25"/>
                <w:lang w:val="lv-LV"/>
              </w:rPr>
              <w:t>Nepieciešamais finansējums 1 121 374 lati aktivitātes īstenošanai tika pārdalīts no 1.3.1.1.4.apakšaktivitātes „Atbalsts nodarbināto apmācībām komersantu konkurētspējas veicināšanai – atbalsts komersantu individuāli organizētām apmācībām”.</w:t>
            </w:r>
          </w:p>
          <w:p w:rsidR="00BF1311" w:rsidRPr="008740B7" w:rsidRDefault="00BF1311" w:rsidP="00175716">
            <w:pPr>
              <w:ind w:firstLine="720"/>
              <w:jc w:val="both"/>
              <w:rPr>
                <w:sz w:val="25"/>
                <w:szCs w:val="25"/>
                <w:lang w:val="lv-LV"/>
              </w:rPr>
            </w:pPr>
            <w:r w:rsidRPr="008740B7">
              <w:rPr>
                <w:sz w:val="25"/>
                <w:szCs w:val="25"/>
                <w:lang w:val="lv-LV"/>
              </w:rPr>
              <w:t>1.3.1.1.1.aktivitātes trešās kārtas projektu iesniegumu vērtēšanas kritēriji ir saskaņoti 2011.gada 16.jūnija Eiropas Savienības fondu uzraudzības komitejas sēdē un ir iestrādāti šajos noteikumos.</w:t>
            </w:r>
          </w:p>
          <w:p w:rsidR="00BF1311" w:rsidRPr="008740B7" w:rsidRDefault="00BF1311" w:rsidP="00604D1A">
            <w:pPr>
              <w:ind w:firstLine="720"/>
              <w:jc w:val="both"/>
              <w:rPr>
                <w:sz w:val="25"/>
                <w:szCs w:val="25"/>
                <w:lang w:val="lv-LV"/>
              </w:rPr>
            </w:pPr>
            <w:r w:rsidRPr="008740B7">
              <w:rPr>
                <w:sz w:val="25"/>
                <w:szCs w:val="25"/>
                <w:lang w:val="lv-LV"/>
              </w:rPr>
              <w:t xml:space="preserve">1.3.1.1.1.aktivitātes </w:t>
            </w:r>
            <w:r w:rsidR="00EC4B9A" w:rsidRPr="008740B7">
              <w:rPr>
                <w:sz w:val="25"/>
                <w:szCs w:val="25"/>
                <w:lang w:val="lv-LV"/>
              </w:rPr>
              <w:t>otrās un turpmāko kārtu īstenošanu</w:t>
            </w:r>
            <w:r w:rsidRPr="008740B7">
              <w:rPr>
                <w:sz w:val="25"/>
                <w:szCs w:val="25"/>
                <w:lang w:val="lv-LV"/>
              </w:rPr>
              <w:t xml:space="preserve"> jau reglamentē 2010.gada 30.marta noteikumi Nr.328 „Noteikumi par darbības programmas </w:t>
            </w:r>
            <w:r w:rsidR="00EC4B9A" w:rsidRPr="008740B7">
              <w:rPr>
                <w:sz w:val="25"/>
                <w:szCs w:val="25"/>
                <w:lang w:val="lv-LV"/>
              </w:rPr>
              <w:t>„</w:t>
            </w:r>
            <w:r w:rsidRPr="008740B7">
              <w:rPr>
                <w:sz w:val="25"/>
                <w:szCs w:val="25"/>
                <w:lang w:val="lv-LV"/>
              </w:rPr>
              <w:t>Cilvēkresursi un nodarbinātība</w:t>
            </w:r>
            <w:r w:rsidR="00EC4B9A" w:rsidRPr="008740B7">
              <w:rPr>
                <w:sz w:val="25"/>
                <w:szCs w:val="25"/>
                <w:lang w:val="lv-LV"/>
              </w:rPr>
              <w:t>”</w:t>
            </w:r>
            <w:r w:rsidRPr="008740B7">
              <w:rPr>
                <w:sz w:val="25"/>
                <w:szCs w:val="25"/>
                <w:lang w:val="lv-LV"/>
              </w:rPr>
              <w:t xml:space="preserve"> papildinājuma 1.3.1.1.1.apakšaktivitātes </w:t>
            </w:r>
            <w:r w:rsidR="00EC4B9A" w:rsidRPr="008740B7">
              <w:rPr>
                <w:sz w:val="25"/>
                <w:szCs w:val="25"/>
                <w:lang w:val="lv-LV"/>
              </w:rPr>
              <w:t>„</w:t>
            </w:r>
            <w:r w:rsidRPr="008740B7">
              <w:rPr>
                <w:sz w:val="25"/>
                <w:szCs w:val="25"/>
                <w:lang w:val="lv-LV"/>
              </w:rPr>
              <w:t>Atbalsts nodarbināto apmācībām komersantu konkurētspējas veicināšanai – atbalsts partnerībās organizētām apmācībām</w:t>
            </w:r>
            <w:r w:rsidR="00EC4B9A" w:rsidRPr="008740B7">
              <w:rPr>
                <w:sz w:val="25"/>
                <w:szCs w:val="25"/>
                <w:lang w:val="lv-LV"/>
              </w:rPr>
              <w:t>”</w:t>
            </w:r>
            <w:r w:rsidRPr="008740B7">
              <w:rPr>
                <w:sz w:val="25"/>
                <w:szCs w:val="25"/>
                <w:lang w:val="lv-LV"/>
              </w:rPr>
              <w:t xml:space="preserve"> projektu iesniegumu atlases otro un turpmākajām kārtām”. Par cik grozījumi ir nepieciešami vairāk kā 30% no minēto noteikumu normām, ir izstrādāti jauni noteikumi, kuri reglamentēs aktivitātes </w:t>
            </w:r>
            <w:r w:rsidR="00604D1A" w:rsidRPr="008740B7">
              <w:rPr>
                <w:sz w:val="25"/>
                <w:szCs w:val="25"/>
                <w:lang w:val="lv-LV"/>
              </w:rPr>
              <w:t>trešo</w:t>
            </w:r>
            <w:r w:rsidRPr="008740B7">
              <w:rPr>
                <w:sz w:val="25"/>
                <w:szCs w:val="25"/>
                <w:lang w:val="lv-LV"/>
              </w:rPr>
              <w:t xml:space="preserve"> un turpmākās kārtas.</w:t>
            </w:r>
          </w:p>
        </w:tc>
      </w:tr>
      <w:tr w:rsidR="00BF1311" w:rsidRPr="008740B7" w:rsidTr="00BF1311">
        <w:trPr>
          <w:trHeight w:val="360"/>
        </w:trPr>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44690B">
            <w:pPr>
              <w:ind w:firstLine="425"/>
              <w:jc w:val="both"/>
              <w:rPr>
                <w:color w:val="000000"/>
                <w:sz w:val="25"/>
                <w:szCs w:val="25"/>
                <w:lang w:val="lv-LV"/>
              </w:rPr>
            </w:pPr>
            <w:r w:rsidRPr="008740B7">
              <w:rPr>
                <w:rFonts w:eastAsia="Times New Roman"/>
                <w:sz w:val="25"/>
                <w:szCs w:val="25"/>
                <w:lang w:val="lv-LV" w:eastAsia="lv-LV"/>
              </w:rPr>
              <w:t>Projekts šo jomu neskar.</w:t>
            </w:r>
          </w:p>
        </w:tc>
      </w:tr>
      <w:tr w:rsidR="00BF1311" w:rsidRPr="000E0E01" w:rsidTr="00BF1311">
        <w:trPr>
          <w:trHeight w:val="1068"/>
        </w:trPr>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485772">
            <w:pPr>
              <w:pStyle w:val="EE-paragrCharChar"/>
              <w:spacing w:after="0"/>
              <w:rPr>
                <w:sz w:val="25"/>
                <w:szCs w:val="25"/>
              </w:rPr>
            </w:pPr>
            <w:r w:rsidRPr="008740B7">
              <w:rPr>
                <w:sz w:val="25"/>
                <w:szCs w:val="25"/>
              </w:rPr>
              <w:t xml:space="preserve">Noteikumu projekts nosaka kārtību, kādā īsteno darbības programmas „Cilvēkresursi un nodarbinātība” papildinājuma 1.3.1.1.1.apakšaktivitātes „Atbalsts nodarbināto apmācībām komersantu konkurētspējas veicināšanai – atbalsts partnerībās organizētām apmācībām” trešo un turpmākās projektu iesniegumu atlases kārtas, prasības projekta iesnieguma iesniedzējam, projekta iesnieguma vērtēšanas kritērijus, atbildīgo iestādi un sadarbības iestādi, kompetences sadalījumu starp šīm iestādēm un sadarbības kārtību, kā arī atbildīgās iestādes un sadarbības iestādes funkcionālās padotības formu. </w:t>
            </w:r>
          </w:p>
          <w:p w:rsidR="00BF1311" w:rsidRPr="008740B7" w:rsidRDefault="00BF1311" w:rsidP="00485772">
            <w:pPr>
              <w:pStyle w:val="EE-paragrCharChar"/>
              <w:rPr>
                <w:sz w:val="25"/>
                <w:szCs w:val="25"/>
                <w:lang w:eastAsia="en-US"/>
              </w:rPr>
            </w:pPr>
            <w:r w:rsidRPr="008740B7">
              <w:rPr>
                <w:sz w:val="25"/>
                <w:szCs w:val="25"/>
                <w:lang w:eastAsia="en-US"/>
              </w:rPr>
              <w:t>Noteikumu projektā 1.3.1.1.1.aktivitātes trešās kārtas mērķis</w:t>
            </w:r>
            <w:r w:rsidRPr="008740B7" w:rsidDel="0003357E">
              <w:rPr>
                <w:sz w:val="25"/>
                <w:szCs w:val="25"/>
                <w:lang w:eastAsia="en-US"/>
              </w:rPr>
              <w:t xml:space="preserve"> </w:t>
            </w:r>
            <w:r w:rsidRPr="008740B7">
              <w:rPr>
                <w:sz w:val="25"/>
                <w:szCs w:val="25"/>
                <w:lang w:eastAsia="en-US"/>
              </w:rPr>
              <w:t xml:space="preserve">ir </w:t>
            </w:r>
            <w:r w:rsidRPr="008740B7">
              <w:rPr>
                <w:sz w:val="25"/>
                <w:szCs w:val="25"/>
              </w:rPr>
              <w:t>celt mikro un mazo komersantu produktivitāti un darba efektivitāti, paaugstinot to darbinieku kvalifikāciju un prasmes informācijas un komunikācijas tehnoloģiju jomā, tādejādi nodrošinot komersanta konkurētspējas pieaugumu un veicinot tautsaimniecības attīstību.</w:t>
            </w:r>
          </w:p>
          <w:p w:rsidR="00BF1311" w:rsidRPr="008740B7" w:rsidRDefault="00BF1311" w:rsidP="00485772">
            <w:pPr>
              <w:pStyle w:val="EE-paragrCharChar"/>
              <w:rPr>
                <w:sz w:val="25"/>
                <w:szCs w:val="25"/>
              </w:rPr>
            </w:pPr>
            <w:r w:rsidRPr="008740B7">
              <w:rPr>
                <w:sz w:val="25"/>
                <w:szCs w:val="25"/>
                <w:lang w:eastAsia="en-US"/>
              </w:rPr>
              <w:t>1.3.1.1.1.aktivitātes</w:t>
            </w:r>
            <w:r w:rsidRPr="008740B7">
              <w:rPr>
                <w:sz w:val="25"/>
                <w:szCs w:val="25"/>
              </w:rPr>
              <w:t xml:space="preserve"> ietvaros īstenotos projektus līdzfinansē no Eiropas Sociālā fonda (turpmāk – ESF) līdzekļiem. Kopējais </w:t>
            </w:r>
            <w:r w:rsidRPr="008740B7">
              <w:rPr>
                <w:sz w:val="25"/>
                <w:szCs w:val="25"/>
                <w:lang w:eastAsia="en-US"/>
              </w:rPr>
              <w:t>1.3.1.1.1.aktivitātes</w:t>
            </w:r>
            <w:r w:rsidRPr="008740B7">
              <w:rPr>
                <w:sz w:val="25"/>
                <w:szCs w:val="25"/>
              </w:rPr>
              <w:t xml:space="preserve"> trešās atlases kārtas ietvaros pieejamais ESF līdzfinansējums ir 1 121 374 lati. </w:t>
            </w:r>
            <w:r w:rsidRPr="008740B7">
              <w:rPr>
                <w:sz w:val="25"/>
                <w:szCs w:val="25"/>
                <w:lang w:eastAsia="en-US"/>
              </w:rPr>
              <w:t xml:space="preserve">1.3.1.1.1.aktivitātes trešo </w:t>
            </w:r>
            <w:r w:rsidRPr="008740B7">
              <w:rPr>
                <w:sz w:val="25"/>
                <w:szCs w:val="25"/>
              </w:rPr>
              <w:t xml:space="preserve">projektu iesniegumu atlases kārtu īsteno ierobežotas projektu iesniegumu atlases veidā par visu pieejamo finansējumu. </w:t>
            </w:r>
          </w:p>
          <w:p w:rsidR="00BF1311" w:rsidRPr="008740B7" w:rsidRDefault="00BF1311" w:rsidP="00485772">
            <w:pPr>
              <w:pStyle w:val="EE-paragrCharChar"/>
              <w:rPr>
                <w:sz w:val="25"/>
                <w:szCs w:val="25"/>
              </w:rPr>
            </w:pPr>
            <w:r w:rsidRPr="008740B7">
              <w:rPr>
                <w:sz w:val="25"/>
                <w:szCs w:val="25"/>
              </w:rPr>
              <w:t>Projekta iesniedzējs var būt biedrība, kura pārstāv informāciju tehnoloģiju un telekomunikāciju nozares saimnieciskās darbības veicējus.</w:t>
            </w:r>
          </w:p>
          <w:p w:rsidR="009F7943" w:rsidRPr="008740B7" w:rsidRDefault="000F45CB" w:rsidP="000F45CB">
            <w:pPr>
              <w:pStyle w:val="EE-paragrCharChar"/>
              <w:rPr>
                <w:sz w:val="25"/>
                <w:szCs w:val="25"/>
              </w:rPr>
            </w:pPr>
            <w:r w:rsidRPr="008740B7">
              <w:rPr>
                <w:sz w:val="25"/>
                <w:szCs w:val="25"/>
              </w:rPr>
              <w:t>Uz finansējumu nevar pretendēt projekta iesniedzējs, kam ir grūtībās nonākuša saimnieciskās darbības veicēja pazīmes - zaudējumu pieaugums, apgrozījuma samazināšanās, naudas plūsmas samazināšanās, parādu pieaugums un procentu likmju celšanās – un ja projekta iesniedzēja sniegtā informācija norāda, ka saimnieciskās darbības rezultātā tas nespē</w:t>
            </w:r>
            <w:r w:rsidR="00B44F6E" w:rsidRPr="008740B7">
              <w:rPr>
                <w:sz w:val="25"/>
                <w:szCs w:val="25"/>
              </w:rPr>
              <w:t>s</w:t>
            </w:r>
            <w:r w:rsidRPr="008740B7">
              <w:rPr>
                <w:sz w:val="25"/>
                <w:szCs w:val="25"/>
              </w:rPr>
              <w:t xml:space="preserve"> atgūties ar saviem resursiem vai ar līdzekļiem, ko tas iegūst no saviem biedriem vai īpašniekiem, vai no tirgus avotiem.  </w:t>
            </w:r>
            <w:r w:rsidR="00FA22E4" w:rsidRPr="008740B7">
              <w:rPr>
                <w:sz w:val="25"/>
                <w:szCs w:val="25"/>
              </w:rPr>
              <w:t>Turpretim</w:t>
            </w:r>
            <w:r w:rsidRPr="008740B7">
              <w:rPr>
                <w:sz w:val="25"/>
                <w:szCs w:val="25"/>
              </w:rPr>
              <w:t xml:space="preserve"> komersantiem, lai tie saņemtu apmācību atbalstu ir piemērojama grūtībās nonākuša komersanta definīcija atbilstoši</w:t>
            </w:r>
            <w:r w:rsidR="009F7943" w:rsidRPr="008740B7">
              <w:rPr>
                <w:sz w:val="25"/>
                <w:szCs w:val="25"/>
              </w:rPr>
              <w:t xml:space="preserve"> Komisijas 2008.gada 6.augusta Regul</w:t>
            </w:r>
            <w:r w:rsidRPr="008740B7">
              <w:rPr>
                <w:sz w:val="25"/>
                <w:szCs w:val="25"/>
              </w:rPr>
              <w:t>a</w:t>
            </w:r>
            <w:r w:rsidR="00FA22E4" w:rsidRPr="008740B7">
              <w:rPr>
                <w:sz w:val="25"/>
                <w:szCs w:val="25"/>
              </w:rPr>
              <w:t>s</w:t>
            </w:r>
            <w:r w:rsidR="009F7943" w:rsidRPr="008740B7">
              <w:rPr>
                <w:sz w:val="25"/>
                <w:szCs w:val="25"/>
              </w:rPr>
              <w:t xml:space="preserve"> (EK) Nr. </w:t>
            </w:r>
            <w:hyperlink r:id="rId10" w:tgtFrame="_blank" w:tooltip="Atvērt regulu latviešu valodā" w:history="1">
              <w:r w:rsidR="009F7943" w:rsidRPr="008740B7">
                <w:rPr>
                  <w:rStyle w:val="Hyperlink"/>
                  <w:sz w:val="25"/>
                  <w:szCs w:val="25"/>
                </w:rPr>
                <w:t>800/2008</w:t>
              </w:r>
            </w:hyperlink>
            <w:r w:rsidR="009F7943" w:rsidRPr="008740B7">
              <w:rPr>
                <w:sz w:val="25"/>
                <w:szCs w:val="25"/>
              </w:rPr>
              <w:t>, kas atzīst noteiktas atbalsta kategorijas par saderīgām ar kopējo tirgu, piemērojot Līguma 87. un 88.pantu (vispārējā grupu atbrīvojuma regula) (Eiropas Savienības Oficiālais Vēstnesis, 2008.gada 9.augusts, Nr. L 214)</w:t>
            </w:r>
            <w:r w:rsidR="00FA22E4" w:rsidRPr="008740B7">
              <w:rPr>
                <w:sz w:val="25"/>
                <w:szCs w:val="25"/>
              </w:rPr>
              <w:t xml:space="preserve"> (turpmāk – Komisijas regula Nr. </w:t>
            </w:r>
            <w:hyperlink r:id="rId11" w:tgtFrame="_blank" w:tooltip="Atvērt regulu latviešu valodā" w:history="1">
              <w:r w:rsidR="00FA22E4" w:rsidRPr="008740B7">
                <w:rPr>
                  <w:rStyle w:val="Hyperlink"/>
                  <w:sz w:val="25"/>
                  <w:szCs w:val="25"/>
                </w:rPr>
                <w:t>800/2008</w:t>
              </w:r>
            </w:hyperlink>
            <w:r w:rsidR="00FA22E4" w:rsidRPr="008740B7">
              <w:rPr>
                <w:sz w:val="25"/>
                <w:szCs w:val="25"/>
              </w:rPr>
              <w:t>)</w:t>
            </w:r>
            <w:r w:rsidR="009F7943" w:rsidRPr="008740B7">
              <w:rPr>
                <w:sz w:val="25"/>
                <w:szCs w:val="25"/>
              </w:rPr>
              <w:t xml:space="preserve"> 1.panta 7.punkta</w:t>
            </w:r>
            <w:r w:rsidR="00FA22E4" w:rsidRPr="008740B7">
              <w:rPr>
                <w:sz w:val="25"/>
                <w:szCs w:val="25"/>
              </w:rPr>
              <w:t>m.</w:t>
            </w:r>
            <w:r w:rsidR="009F7943" w:rsidRPr="008740B7">
              <w:rPr>
                <w:sz w:val="25"/>
                <w:szCs w:val="25"/>
              </w:rPr>
              <w:t xml:space="preserve"> </w:t>
            </w:r>
            <w:r w:rsidR="00FA22E4" w:rsidRPr="008740B7">
              <w:rPr>
                <w:sz w:val="25"/>
                <w:szCs w:val="25"/>
              </w:rPr>
              <w:t>Projekta iesniedz</w:t>
            </w:r>
            <w:r w:rsidR="006676BC" w:rsidRPr="008740B7">
              <w:rPr>
                <w:sz w:val="25"/>
                <w:szCs w:val="25"/>
              </w:rPr>
              <w:t>ējam tiek piemērota cita grūtībās nonākuša saimnieciskās darbības veicēja definīcija, tā kā projekta iesniedzējs ir biedrība</w:t>
            </w:r>
            <w:r w:rsidR="00FA22E4" w:rsidRPr="008740B7">
              <w:rPr>
                <w:sz w:val="25"/>
                <w:szCs w:val="25"/>
              </w:rPr>
              <w:t xml:space="preserve">, un </w:t>
            </w:r>
            <w:r w:rsidR="006676BC" w:rsidRPr="008740B7">
              <w:rPr>
                <w:sz w:val="25"/>
                <w:szCs w:val="25"/>
              </w:rPr>
              <w:t>tā neatbilst Komisijas</w:t>
            </w:r>
            <w:r w:rsidR="00FA22E4" w:rsidRPr="008740B7">
              <w:rPr>
                <w:sz w:val="25"/>
                <w:szCs w:val="25"/>
              </w:rPr>
              <w:t xml:space="preserve"> regulas Nr.800/2008 1.panta 7.punkta sniegtajai definīcijai.  </w:t>
            </w:r>
            <w:r w:rsidR="009F7943" w:rsidRPr="008740B7">
              <w:rPr>
                <w:sz w:val="25"/>
                <w:szCs w:val="25"/>
              </w:rPr>
              <w:t xml:space="preserve"> </w:t>
            </w:r>
          </w:p>
          <w:p w:rsidR="00BF1311" w:rsidRPr="008740B7" w:rsidRDefault="00BF1311" w:rsidP="00485772">
            <w:pPr>
              <w:pStyle w:val="EE-paragrCharChar"/>
              <w:rPr>
                <w:sz w:val="25"/>
                <w:szCs w:val="25"/>
              </w:rPr>
            </w:pPr>
            <w:r w:rsidRPr="008740B7">
              <w:rPr>
                <w:sz w:val="25"/>
                <w:szCs w:val="25"/>
              </w:rPr>
              <w:t xml:space="preserve">Projekta minimālais ESF līdzfinansējuma apmērs nav ierobežots, maksimālais apmērs – 1 121 374 latu. </w:t>
            </w:r>
          </w:p>
          <w:p w:rsidR="00BF1311" w:rsidRPr="008740B7" w:rsidRDefault="00BF1311" w:rsidP="00485772">
            <w:pPr>
              <w:ind w:firstLine="425"/>
              <w:jc w:val="both"/>
              <w:rPr>
                <w:sz w:val="25"/>
                <w:szCs w:val="25"/>
                <w:lang w:val="lv-LV"/>
              </w:rPr>
            </w:pPr>
            <w:r w:rsidRPr="008740B7">
              <w:rPr>
                <w:sz w:val="25"/>
                <w:szCs w:val="25"/>
                <w:lang w:val="lv-LV"/>
              </w:rPr>
              <w:t xml:space="preserve">Projekta īstenošanai pieejamais maksimālais ESF līdzfinansējuma apmērs no kopējām projekta attiecināmajām </w:t>
            </w:r>
            <w:r w:rsidRPr="008740B7">
              <w:rPr>
                <w:sz w:val="25"/>
                <w:szCs w:val="25"/>
                <w:lang w:val="lv-LV"/>
              </w:rPr>
              <w:lastRenderedPageBreak/>
              <w:t>izmaksām ir 80 %.</w:t>
            </w:r>
          </w:p>
        </w:tc>
      </w:tr>
      <w:tr w:rsidR="00BF1311" w:rsidRPr="000E0E01" w:rsidTr="00BF1311">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lastRenderedPageBreak/>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7A593A">
            <w:pPr>
              <w:pStyle w:val="BodyText"/>
              <w:ind w:right="142" w:firstLine="425"/>
              <w:rPr>
                <w:sz w:val="25"/>
                <w:szCs w:val="25"/>
              </w:rPr>
            </w:pPr>
            <w:r w:rsidRPr="008740B7">
              <w:rPr>
                <w:sz w:val="25"/>
                <w:szCs w:val="25"/>
              </w:rPr>
              <w:t xml:space="preserve">Ekonomikas ministrija, </w:t>
            </w:r>
            <w:r w:rsidRPr="008740B7">
              <w:rPr>
                <w:bCs/>
                <w:color w:val="000000" w:themeColor="text1"/>
                <w:sz w:val="25"/>
                <w:szCs w:val="25"/>
              </w:rPr>
              <w:t>v/a „Latvijas Inve</w:t>
            </w:r>
            <w:r w:rsidR="007A593A" w:rsidRPr="008740B7">
              <w:rPr>
                <w:bCs/>
                <w:color w:val="000000" w:themeColor="text1"/>
                <w:sz w:val="25"/>
                <w:szCs w:val="25"/>
              </w:rPr>
              <w:t>stīciju un attīstības aģentūra” un</w:t>
            </w:r>
            <w:r w:rsidRPr="008740B7">
              <w:rPr>
                <w:bCs/>
                <w:color w:val="000000" w:themeColor="text1"/>
                <w:sz w:val="25"/>
                <w:szCs w:val="25"/>
              </w:rPr>
              <w:t xml:space="preserve"> </w:t>
            </w:r>
            <w:r w:rsidRPr="008740B7">
              <w:rPr>
                <w:rStyle w:val="st1"/>
                <w:sz w:val="25"/>
                <w:szCs w:val="25"/>
              </w:rPr>
              <w:t>Latvijas Informācijas un komunikācijas tehnoloģiju asociācija</w:t>
            </w:r>
            <w:r w:rsidRPr="008740B7">
              <w:rPr>
                <w:bCs/>
                <w:color w:val="000000" w:themeColor="text1"/>
                <w:sz w:val="25"/>
                <w:szCs w:val="25"/>
              </w:rPr>
              <w:t>.</w:t>
            </w:r>
          </w:p>
        </w:tc>
      </w:tr>
      <w:tr w:rsidR="00BF1311" w:rsidRPr="000E0E01" w:rsidTr="00BF1311">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8F5C80">
            <w:pPr>
              <w:pStyle w:val="BodyText"/>
              <w:ind w:right="142" w:firstLine="425"/>
              <w:rPr>
                <w:sz w:val="25"/>
                <w:szCs w:val="25"/>
              </w:rPr>
            </w:pPr>
            <w:r w:rsidRPr="008740B7">
              <w:rPr>
                <w:sz w:val="25"/>
                <w:szCs w:val="25"/>
              </w:rPr>
              <w:t xml:space="preserve">Tiesību akta projekta projektu iesniegumu vērtēšanas kritēriji ir saskaņoti ar nozaru asociācijām 2011.gada 16.jūnija Eiropas Savienības fondu uzraudzības komitejas sēdē. </w:t>
            </w:r>
          </w:p>
        </w:tc>
      </w:tr>
      <w:tr w:rsidR="00BF1311" w:rsidRPr="008740B7" w:rsidTr="00BF1311">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CE5A53">
            <w:pPr>
              <w:rPr>
                <w:rFonts w:eastAsia="Times New Roman"/>
                <w:sz w:val="25"/>
                <w:szCs w:val="25"/>
                <w:lang w:val="lv-LV" w:eastAsia="lv-LV"/>
              </w:rPr>
            </w:pPr>
            <w:r w:rsidRPr="008740B7">
              <w:rPr>
                <w:rFonts w:eastAsia="Times New Roman"/>
                <w:sz w:val="25"/>
                <w:szCs w:val="25"/>
                <w:lang w:val="lv-LV" w:eastAsia="lv-LV"/>
              </w:rPr>
              <w:t> 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F1311" w:rsidRPr="008740B7" w:rsidRDefault="00BF1311" w:rsidP="0044690B">
            <w:pPr>
              <w:ind w:firstLine="425"/>
              <w:jc w:val="both"/>
              <w:rPr>
                <w:sz w:val="25"/>
                <w:szCs w:val="25"/>
                <w:lang w:val="lv-LV"/>
              </w:rPr>
            </w:pPr>
            <w:r w:rsidRPr="008740B7">
              <w:rPr>
                <w:sz w:val="25"/>
                <w:szCs w:val="25"/>
                <w:lang w:val="lv-LV"/>
              </w:rPr>
              <w:t>Nav.</w:t>
            </w:r>
          </w:p>
        </w:tc>
      </w:tr>
    </w:tbl>
    <w:p w:rsidR="004B638C" w:rsidRPr="008740B7" w:rsidRDefault="004B638C" w:rsidP="00CE5A53">
      <w:pPr>
        <w:pStyle w:val="NormalWeb"/>
        <w:spacing w:before="0" w:beforeAutospacing="0" w:after="0" w:afterAutospacing="0"/>
        <w:jc w:val="center"/>
        <w:rPr>
          <w:b/>
          <w:sz w:val="25"/>
          <w:szCs w:val="25"/>
          <w:lang w:val="lv-LV"/>
        </w:rPr>
      </w:pPr>
    </w:p>
    <w:p w:rsidR="00BF1311" w:rsidRPr="008740B7" w:rsidRDefault="00BF1311" w:rsidP="00CE5A53">
      <w:pPr>
        <w:pStyle w:val="NormalWeb"/>
        <w:spacing w:before="0" w:beforeAutospacing="0" w:after="0" w:afterAutospacing="0"/>
        <w:jc w:val="center"/>
        <w:rPr>
          <w:b/>
          <w:sz w:val="25"/>
          <w:szCs w:val="25"/>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456"/>
        <w:gridCol w:w="3660"/>
        <w:gridCol w:w="5240"/>
      </w:tblGrid>
      <w:tr w:rsidR="00F621F0" w:rsidRPr="000E0E01" w:rsidTr="00C35BF1">
        <w:tc>
          <w:tcPr>
            <w:tcW w:w="9356" w:type="dxa"/>
            <w:gridSpan w:val="3"/>
            <w:vAlign w:val="center"/>
          </w:tcPr>
          <w:p w:rsidR="00F621F0" w:rsidRPr="008740B7" w:rsidRDefault="00C82B27" w:rsidP="00471B85">
            <w:pPr>
              <w:pStyle w:val="naisnod"/>
              <w:spacing w:before="0" w:after="0"/>
              <w:rPr>
                <w:sz w:val="25"/>
                <w:szCs w:val="25"/>
              </w:rPr>
            </w:pPr>
            <w:r w:rsidRPr="008740B7">
              <w:rPr>
                <w:sz w:val="25"/>
                <w:szCs w:val="25"/>
              </w:rPr>
              <w:t>II. Tiesību akta projekta ietekme uz sabiedrību</w:t>
            </w:r>
          </w:p>
        </w:tc>
      </w:tr>
      <w:tr w:rsidR="00F621F0" w:rsidRPr="008740B7" w:rsidTr="00BF1311">
        <w:trPr>
          <w:trHeight w:val="467"/>
        </w:trPr>
        <w:tc>
          <w:tcPr>
            <w:tcW w:w="456" w:type="dxa"/>
          </w:tcPr>
          <w:p w:rsidR="00F621F0" w:rsidRPr="008740B7" w:rsidRDefault="00C82B27" w:rsidP="00471B85">
            <w:pPr>
              <w:pStyle w:val="naiskr"/>
              <w:spacing w:before="0" w:after="0"/>
              <w:rPr>
                <w:sz w:val="25"/>
                <w:szCs w:val="25"/>
              </w:rPr>
            </w:pPr>
            <w:r w:rsidRPr="008740B7">
              <w:rPr>
                <w:sz w:val="25"/>
                <w:szCs w:val="25"/>
              </w:rPr>
              <w:t>1.</w:t>
            </w:r>
          </w:p>
        </w:tc>
        <w:tc>
          <w:tcPr>
            <w:tcW w:w="3660" w:type="dxa"/>
          </w:tcPr>
          <w:p w:rsidR="007E5D4D" w:rsidRPr="008740B7" w:rsidRDefault="00C82B27">
            <w:pPr>
              <w:pStyle w:val="naiskr"/>
              <w:spacing w:before="0" w:after="0"/>
              <w:rPr>
                <w:sz w:val="25"/>
                <w:szCs w:val="25"/>
              </w:rPr>
            </w:pPr>
            <w:r w:rsidRPr="008740B7">
              <w:rPr>
                <w:sz w:val="25"/>
                <w:szCs w:val="25"/>
              </w:rPr>
              <w:t>Sabiedrības mērķgrupa</w:t>
            </w:r>
          </w:p>
        </w:tc>
        <w:tc>
          <w:tcPr>
            <w:tcW w:w="5240" w:type="dxa"/>
          </w:tcPr>
          <w:p w:rsidR="00404E4B" w:rsidRPr="008740B7" w:rsidRDefault="00485772" w:rsidP="0044690B">
            <w:pPr>
              <w:pStyle w:val="naiskr"/>
              <w:ind w:firstLine="450"/>
              <w:jc w:val="both"/>
              <w:rPr>
                <w:iCs/>
                <w:sz w:val="25"/>
                <w:szCs w:val="25"/>
              </w:rPr>
            </w:pPr>
            <w:r w:rsidRPr="008740B7">
              <w:rPr>
                <w:iCs/>
                <w:sz w:val="25"/>
                <w:szCs w:val="25"/>
              </w:rPr>
              <w:t xml:space="preserve">1.3.1.1.1. aktivitātes trešās kārtas mērķa grupa </w:t>
            </w:r>
            <w:r w:rsidRPr="008740B7">
              <w:rPr>
                <w:sz w:val="25"/>
                <w:szCs w:val="25"/>
              </w:rPr>
              <w:t xml:space="preserve"> mikro un mazie komersanti</w:t>
            </w:r>
            <w:r w:rsidR="00C82B27" w:rsidRPr="008740B7">
              <w:rPr>
                <w:iCs/>
                <w:sz w:val="25"/>
                <w:szCs w:val="25"/>
              </w:rPr>
              <w:t>.</w:t>
            </w:r>
          </w:p>
        </w:tc>
      </w:tr>
      <w:tr w:rsidR="00F621F0" w:rsidRPr="008740B7" w:rsidTr="00BF1311">
        <w:trPr>
          <w:trHeight w:val="523"/>
        </w:trPr>
        <w:tc>
          <w:tcPr>
            <w:tcW w:w="456" w:type="dxa"/>
          </w:tcPr>
          <w:p w:rsidR="00F621F0" w:rsidRPr="008740B7" w:rsidRDefault="00C82B27" w:rsidP="00471B85">
            <w:pPr>
              <w:pStyle w:val="naiskr"/>
              <w:spacing w:before="0" w:after="0"/>
              <w:rPr>
                <w:sz w:val="25"/>
                <w:szCs w:val="25"/>
              </w:rPr>
            </w:pPr>
            <w:r w:rsidRPr="008740B7">
              <w:rPr>
                <w:sz w:val="25"/>
                <w:szCs w:val="25"/>
              </w:rPr>
              <w:t>2.</w:t>
            </w:r>
          </w:p>
        </w:tc>
        <w:tc>
          <w:tcPr>
            <w:tcW w:w="3660" w:type="dxa"/>
          </w:tcPr>
          <w:p w:rsidR="007E5D4D" w:rsidRPr="008740B7" w:rsidRDefault="00C82B27">
            <w:pPr>
              <w:pStyle w:val="naiskr"/>
              <w:spacing w:before="0" w:after="0"/>
              <w:rPr>
                <w:sz w:val="25"/>
                <w:szCs w:val="25"/>
              </w:rPr>
            </w:pPr>
            <w:r w:rsidRPr="008740B7">
              <w:rPr>
                <w:sz w:val="25"/>
                <w:szCs w:val="25"/>
              </w:rPr>
              <w:t>Citas sabiedrības grupas (bez mērķgrupas), kuras tiesiskais regulējums arī ietekmē vai varētu ietekmēt</w:t>
            </w:r>
          </w:p>
        </w:tc>
        <w:tc>
          <w:tcPr>
            <w:tcW w:w="5240" w:type="dxa"/>
          </w:tcPr>
          <w:p w:rsidR="007E5D4D" w:rsidRPr="008740B7" w:rsidRDefault="0044690B" w:rsidP="0044690B">
            <w:pPr>
              <w:pStyle w:val="naiskr"/>
              <w:spacing w:before="0" w:after="0"/>
              <w:ind w:firstLine="450"/>
              <w:jc w:val="both"/>
              <w:rPr>
                <w:sz w:val="25"/>
                <w:szCs w:val="25"/>
              </w:rPr>
            </w:pPr>
            <w:r w:rsidRPr="008740B7">
              <w:rPr>
                <w:sz w:val="25"/>
                <w:szCs w:val="25"/>
              </w:rPr>
              <w:t>Projekts šo jomu neskar.</w:t>
            </w:r>
          </w:p>
        </w:tc>
      </w:tr>
      <w:tr w:rsidR="00F621F0" w:rsidRPr="000E0E01" w:rsidTr="00BF1311">
        <w:trPr>
          <w:trHeight w:val="517"/>
        </w:trPr>
        <w:tc>
          <w:tcPr>
            <w:tcW w:w="456" w:type="dxa"/>
          </w:tcPr>
          <w:p w:rsidR="00F621F0" w:rsidRPr="008740B7" w:rsidRDefault="00C82B27" w:rsidP="00471B85">
            <w:pPr>
              <w:pStyle w:val="naiskr"/>
              <w:spacing w:before="0" w:after="0"/>
              <w:rPr>
                <w:sz w:val="25"/>
                <w:szCs w:val="25"/>
              </w:rPr>
            </w:pPr>
            <w:r w:rsidRPr="008740B7">
              <w:rPr>
                <w:sz w:val="25"/>
                <w:szCs w:val="25"/>
              </w:rPr>
              <w:t>3.</w:t>
            </w:r>
          </w:p>
        </w:tc>
        <w:tc>
          <w:tcPr>
            <w:tcW w:w="3660" w:type="dxa"/>
          </w:tcPr>
          <w:p w:rsidR="007E5D4D" w:rsidRPr="008740B7" w:rsidRDefault="00C82B27">
            <w:pPr>
              <w:pStyle w:val="naiskr"/>
              <w:spacing w:before="0" w:after="0"/>
              <w:rPr>
                <w:sz w:val="25"/>
                <w:szCs w:val="25"/>
              </w:rPr>
            </w:pPr>
            <w:r w:rsidRPr="008740B7">
              <w:rPr>
                <w:sz w:val="25"/>
                <w:szCs w:val="25"/>
              </w:rPr>
              <w:t>Tiesiskā regulējuma finansiālā ietekme</w:t>
            </w:r>
          </w:p>
        </w:tc>
        <w:tc>
          <w:tcPr>
            <w:tcW w:w="5240" w:type="dxa"/>
          </w:tcPr>
          <w:p w:rsidR="007E5D4D" w:rsidRPr="008740B7" w:rsidRDefault="00485772" w:rsidP="00485772">
            <w:pPr>
              <w:pStyle w:val="naiskr"/>
              <w:spacing w:before="0" w:after="0"/>
              <w:ind w:firstLine="450"/>
              <w:jc w:val="both"/>
              <w:rPr>
                <w:sz w:val="25"/>
                <w:szCs w:val="25"/>
              </w:rPr>
            </w:pPr>
            <w:r w:rsidRPr="008740B7">
              <w:rPr>
                <w:sz w:val="25"/>
                <w:szCs w:val="25"/>
              </w:rPr>
              <w:t>Sagatavotais tiesību akta projekts līdzfinansēs vismaz 250 000 latu vērtas investīcijas mikro un mazo komersantu konkurētspējas celšanā.</w:t>
            </w:r>
          </w:p>
        </w:tc>
      </w:tr>
      <w:tr w:rsidR="00F621F0" w:rsidRPr="008740B7" w:rsidTr="00BF1311">
        <w:trPr>
          <w:trHeight w:val="517"/>
        </w:trPr>
        <w:tc>
          <w:tcPr>
            <w:tcW w:w="456" w:type="dxa"/>
          </w:tcPr>
          <w:p w:rsidR="00F621F0" w:rsidRPr="008740B7" w:rsidRDefault="00C82B27" w:rsidP="00471B85">
            <w:pPr>
              <w:pStyle w:val="naiskr"/>
              <w:spacing w:before="0" w:after="0"/>
              <w:rPr>
                <w:sz w:val="25"/>
                <w:szCs w:val="25"/>
              </w:rPr>
            </w:pPr>
            <w:r w:rsidRPr="008740B7">
              <w:rPr>
                <w:sz w:val="25"/>
                <w:szCs w:val="25"/>
              </w:rPr>
              <w:t>4.</w:t>
            </w:r>
          </w:p>
        </w:tc>
        <w:tc>
          <w:tcPr>
            <w:tcW w:w="3660" w:type="dxa"/>
          </w:tcPr>
          <w:p w:rsidR="007E5D4D" w:rsidRPr="008740B7" w:rsidRDefault="00C82B27">
            <w:pPr>
              <w:pStyle w:val="naiskr"/>
              <w:spacing w:before="0" w:after="0"/>
              <w:rPr>
                <w:sz w:val="25"/>
                <w:szCs w:val="25"/>
              </w:rPr>
            </w:pPr>
            <w:r w:rsidRPr="008740B7">
              <w:rPr>
                <w:sz w:val="25"/>
                <w:szCs w:val="25"/>
              </w:rPr>
              <w:t>Tiesiskā regulējuma nefinansiālā ietekme</w:t>
            </w:r>
          </w:p>
        </w:tc>
        <w:tc>
          <w:tcPr>
            <w:tcW w:w="5240" w:type="dxa"/>
          </w:tcPr>
          <w:p w:rsidR="007E5D4D" w:rsidRPr="008740B7" w:rsidRDefault="0044690B" w:rsidP="0044690B">
            <w:pPr>
              <w:pStyle w:val="naiskr"/>
              <w:spacing w:before="0" w:after="0"/>
              <w:ind w:firstLine="450"/>
              <w:jc w:val="both"/>
              <w:rPr>
                <w:iCs/>
                <w:sz w:val="25"/>
                <w:szCs w:val="25"/>
              </w:rPr>
            </w:pPr>
            <w:r w:rsidRPr="008740B7">
              <w:rPr>
                <w:sz w:val="25"/>
                <w:szCs w:val="25"/>
              </w:rPr>
              <w:t>Projekts šo jomu neskar.</w:t>
            </w:r>
          </w:p>
        </w:tc>
      </w:tr>
      <w:tr w:rsidR="00F621F0" w:rsidRPr="008740B7" w:rsidTr="00BF1311">
        <w:trPr>
          <w:trHeight w:val="531"/>
        </w:trPr>
        <w:tc>
          <w:tcPr>
            <w:tcW w:w="456" w:type="dxa"/>
          </w:tcPr>
          <w:p w:rsidR="00F621F0" w:rsidRPr="008740B7" w:rsidRDefault="00C82B27" w:rsidP="00471B85">
            <w:pPr>
              <w:pStyle w:val="naiskr"/>
              <w:spacing w:before="0" w:after="0"/>
              <w:rPr>
                <w:sz w:val="25"/>
                <w:szCs w:val="25"/>
              </w:rPr>
            </w:pPr>
            <w:r w:rsidRPr="008740B7">
              <w:rPr>
                <w:sz w:val="25"/>
                <w:szCs w:val="25"/>
              </w:rPr>
              <w:t>5.</w:t>
            </w:r>
          </w:p>
        </w:tc>
        <w:tc>
          <w:tcPr>
            <w:tcW w:w="3660" w:type="dxa"/>
          </w:tcPr>
          <w:p w:rsidR="007E5D4D" w:rsidRPr="008740B7" w:rsidRDefault="00C82B27">
            <w:pPr>
              <w:pStyle w:val="naiskr"/>
              <w:spacing w:before="0" w:after="0"/>
              <w:rPr>
                <w:sz w:val="25"/>
                <w:szCs w:val="25"/>
              </w:rPr>
            </w:pPr>
            <w:r w:rsidRPr="008740B7">
              <w:rPr>
                <w:sz w:val="25"/>
                <w:szCs w:val="25"/>
              </w:rPr>
              <w:t>Administratīvās procedūras raksturojums</w:t>
            </w:r>
          </w:p>
        </w:tc>
        <w:tc>
          <w:tcPr>
            <w:tcW w:w="5240" w:type="dxa"/>
          </w:tcPr>
          <w:p w:rsidR="007E5D4D" w:rsidRPr="008740B7" w:rsidRDefault="0044690B" w:rsidP="0044690B">
            <w:pPr>
              <w:pStyle w:val="naiskr"/>
              <w:spacing w:before="0" w:after="0"/>
              <w:ind w:firstLine="450"/>
              <w:rPr>
                <w:sz w:val="25"/>
                <w:szCs w:val="25"/>
              </w:rPr>
            </w:pPr>
            <w:r w:rsidRPr="008740B7">
              <w:rPr>
                <w:sz w:val="25"/>
                <w:szCs w:val="25"/>
              </w:rPr>
              <w:t>Projekts šo jomu neskar.</w:t>
            </w:r>
          </w:p>
        </w:tc>
      </w:tr>
      <w:tr w:rsidR="00F621F0" w:rsidRPr="008740B7" w:rsidTr="00BF1311">
        <w:trPr>
          <w:trHeight w:val="357"/>
        </w:trPr>
        <w:tc>
          <w:tcPr>
            <w:tcW w:w="456" w:type="dxa"/>
          </w:tcPr>
          <w:p w:rsidR="00F621F0" w:rsidRPr="008740B7" w:rsidRDefault="00C82B27" w:rsidP="00471B85">
            <w:pPr>
              <w:pStyle w:val="naiskr"/>
              <w:spacing w:before="0" w:after="0"/>
              <w:rPr>
                <w:sz w:val="25"/>
                <w:szCs w:val="25"/>
              </w:rPr>
            </w:pPr>
            <w:r w:rsidRPr="008740B7">
              <w:rPr>
                <w:sz w:val="25"/>
                <w:szCs w:val="25"/>
              </w:rPr>
              <w:t>6.</w:t>
            </w:r>
          </w:p>
        </w:tc>
        <w:tc>
          <w:tcPr>
            <w:tcW w:w="3660" w:type="dxa"/>
          </w:tcPr>
          <w:p w:rsidR="007E5D4D" w:rsidRPr="008740B7" w:rsidRDefault="00C82B27">
            <w:pPr>
              <w:pStyle w:val="naiskr"/>
              <w:spacing w:before="0" w:after="0"/>
              <w:rPr>
                <w:sz w:val="25"/>
                <w:szCs w:val="25"/>
              </w:rPr>
            </w:pPr>
            <w:r w:rsidRPr="008740B7">
              <w:rPr>
                <w:sz w:val="25"/>
                <w:szCs w:val="25"/>
              </w:rPr>
              <w:t>Administratīvo izmaksu monetārs novērtējums</w:t>
            </w:r>
          </w:p>
        </w:tc>
        <w:tc>
          <w:tcPr>
            <w:tcW w:w="5240" w:type="dxa"/>
          </w:tcPr>
          <w:p w:rsidR="007E5D4D" w:rsidRPr="008740B7" w:rsidRDefault="0044690B" w:rsidP="0044690B">
            <w:pPr>
              <w:pStyle w:val="naiskr"/>
              <w:spacing w:before="0" w:after="0"/>
              <w:ind w:firstLine="450"/>
              <w:rPr>
                <w:sz w:val="25"/>
                <w:szCs w:val="25"/>
              </w:rPr>
            </w:pPr>
            <w:r w:rsidRPr="008740B7">
              <w:rPr>
                <w:sz w:val="25"/>
                <w:szCs w:val="25"/>
              </w:rPr>
              <w:t>Projekts šo jomu neskar.</w:t>
            </w:r>
          </w:p>
        </w:tc>
      </w:tr>
      <w:tr w:rsidR="00F621F0" w:rsidRPr="008740B7" w:rsidTr="00BF1311">
        <w:trPr>
          <w:trHeight w:val="489"/>
        </w:trPr>
        <w:tc>
          <w:tcPr>
            <w:tcW w:w="456" w:type="dxa"/>
          </w:tcPr>
          <w:p w:rsidR="00F621F0" w:rsidRPr="008740B7" w:rsidRDefault="00C82B27" w:rsidP="00471B85">
            <w:pPr>
              <w:pStyle w:val="naiskr"/>
              <w:spacing w:before="0" w:after="0"/>
              <w:rPr>
                <w:sz w:val="25"/>
                <w:szCs w:val="25"/>
              </w:rPr>
            </w:pPr>
            <w:r w:rsidRPr="008740B7">
              <w:rPr>
                <w:sz w:val="25"/>
                <w:szCs w:val="25"/>
              </w:rPr>
              <w:t>7.</w:t>
            </w:r>
          </w:p>
        </w:tc>
        <w:tc>
          <w:tcPr>
            <w:tcW w:w="3660" w:type="dxa"/>
          </w:tcPr>
          <w:p w:rsidR="007E5D4D" w:rsidRPr="008740B7" w:rsidRDefault="00C82B27">
            <w:pPr>
              <w:pStyle w:val="naiskr"/>
              <w:spacing w:before="0" w:after="0"/>
              <w:rPr>
                <w:sz w:val="25"/>
                <w:szCs w:val="25"/>
              </w:rPr>
            </w:pPr>
            <w:r w:rsidRPr="008740B7">
              <w:rPr>
                <w:sz w:val="25"/>
                <w:szCs w:val="25"/>
              </w:rPr>
              <w:t>Cita informācija</w:t>
            </w:r>
          </w:p>
        </w:tc>
        <w:tc>
          <w:tcPr>
            <w:tcW w:w="5240" w:type="dxa"/>
          </w:tcPr>
          <w:p w:rsidR="007E5D4D" w:rsidRPr="008740B7" w:rsidRDefault="00C82B27" w:rsidP="0044690B">
            <w:pPr>
              <w:pStyle w:val="naiskr"/>
              <w:spacing w:before="0" w:after="0"/>
              <w:ind w:firstLine="450"/>
              <w:rPr>
                <w:sz w:val="25"/>
                <w:szCs w:val="25"/>
              </w:rPr>
            </w:pPr>
            <w:r w:rsidRPr="008740B7">
              <w:rPr>
                <w:sz w:val="25"/>
                <w:szCs w:val="25"/>
              </w:rPr>
              <w:t>Nav.</w:t>
            </w:r>
          </w:p>
        </w:tc>
      </w:tr>
    </w:tbl>
    <w:p w:rsidR="004E7663" w:rsidRPr="008740B7" w:rsidRDefault="004E7663" w:rsidP="00CE5A53">
      <w:pPr>
        <w:pStyle w:val="NormalWeb"/>
        <w:spacing w:before="0" w:beforeAutospacing="0" w:after="0" w:afterAutospacing="0"/>
        <w:jc w:val="center"/>
        <w:rPr>
          <w:b/>
          <w:sz w:val="25"/>
          <w:szCs w:val="25"/>
          <w:lang w:val="lv-LV"/>
        </w:rPr>
      </w:pPr>
    </w:p>
    <w:p w:rsidR="00485772" w:rsidRPr="008740B7" w:rsidRDefault="00485772" w:rsidP="00485772">
      <w:pPr>
        <w:jc w:val="center"/>
        <w:rPr>
          <w:rFonts w:eastAsia="Times New Roman"/>
          <w:sz w:val="25"/>
          <w:szCs w:val="25"/>
          <w:lang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426"/>
        <w:gridCol w:w="3118"/>
        <w:gridCol w:w="5812"/>
      </w:tblGrid>
      <w:tr w:rsidR="00CD45F0" w:rsidRPr="008740B7" w:rsidTr="00FB1B54">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CD45F0" w:rsidRPr="008740B7" w:rsidRDefault="00CD45F0" w:rsidP="001B2729">
            <w:pPr>
              <w:ind w:firstLine="720"/>
              <w:jc w:val="both"/>
              <w:rPr>
                <w:rFonts w:eastAsia="Times New Roman"/>
                <w:b/>
                <w:sz w:val="25"/>
                <w:szCs w:val="25"/>
                <w:lang w:val="lv-LV" w:eastAsia="lv-LV"/>
              </w:rPr>
            </w:pPr>
            <w:r w:rsidRPr="008740B7">
              <w:rPr>
                <w:rFonts w:eastAsia="Times New Roman"/>
                <w:b/>
                <w:sz w:val="25"/>
                <w:szCs w:val="25"/>
                <w:lang w:val="lv-LV" w:eastAsia="lv-LV"/>
              </w:rPr>
              <w:t>IV. Tiesību akta projekta ietekme uz spēkā esošo tiesību normu sistēmu</w:t>
            </w:r>
          </w:p>
        </w:tc>
      </w:tr>
      <w:tr w:rsidR="007A436D" w:rsidRPr="000E0E01" w:rsidTr="007A436D">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7A436D" w:rsidRPr="008740B7" w:rsidRDefault="007A436D" w:rsidP="001B2729">
            <w:pPr>
              <w:jc w:val="both"/>
              <w:rPr>
                <w:rFonts w:eastAsia="Times New Roman"/>
                <w:sz w:val="25"/>
                <w:szCs w:val="25"/>
                <w:lang w:val="lv-LV" w:eastAsia="lv-LV"/>
              </w:rPr>
            </w:pPr>
            <w:r w:rsidRPr="008740B7">
              <w:rPr>
                <w:rFonts w:eastAsia="Times New Roman"/>
                <w:sz w:val="25"/>
                <w:szCs w:val="25"/>
                <w:lang w:val="lv-LV" w:eastAsia="lv-LV"/>
              </w:rPr>
              <w:t>1.</w:t>
            </w:r>
          </w:p>
        </w:tc>
        <w:tc>
          <w:tcPr>
            <w:tcW w:w="3118" w:type="dxa"/>
            <w:tcBorders>
              <w:top w:val="thickThinLargeGap" w:sz="6" w:space="0" w:color="C0C0C0"/>
              <w:left w:val="thickThinLargeGap" w:sz="6" w:space="0" w:color="C0C0C0"/>
              <w:bottom w:val="thickThinLargeGap" w:sz="6" w:space="0" w:color="C0C0C0"/>
              <w:right w:val="thickThinLargeGap" w:sz="6" w:space="0" w:color="C0C0C0"/>
            </w:tcBorders>
            <w:hideMark/>
          </w:tcPr>
          <w:p w:rsidR="007A436D" w:rsidRPr="008740B7" w:rsidRDefault="007A436D" w:rsidP="001B2729">
            <w:pPr>
              <w:jc w:val="both"/>
              <w:rPr>
                <w:rFonts w:eastAsia="Times New Roman"/>
                <w:sz w:val="25"/>
                <w:szCs w:val="25"/>
                <w:lang w:val="lv-LV" w:eastAsia="lv-LV"/>
              </w:rPr>
            </w:pPr>
            <w:r w:rsidRPr="008740B7">
              <w:rPr>
                <w:rFonts w:eastAsia="Times New Roman"/>
                <w:sz w:val="25"/>
                <w:szCs w:val="25"/>
                <w:lang w:val="lv-LV" w:eastAsia="lv-LV"/>
              </w:rPr>
              <w:t>Nepieciešamie saistītie tiesību aktu projekti</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rsidR="007A436D" w:rsidRPr="008740B7" w:rsidRDefault="007A436D" w:rsidP="00485772">
            <w:pPr>
              <w:ind w:firstLine="720"/>
              <w:jc w:val="both"/>
              <w:rPr>
                <w:sz w:val="25"/>
                <w:szCs w:val="25"/>
                <w:lang w:val="lv-LV"/>
              </w:rPr>
            </w:pPr>
            <w:r w:rsidRPr="008740B7">
              <w:rPr>
                <w:sz w:val="25"/>
                <w:szCs w:val="25"/>
                <w:lang w:val="lv-LV"/>
              </w:rPr>
              <w:t>Jāveic sekojoši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w:t>
            </w:r>
            <w:r w:rsidR="007F64E2" w:rsidRPr="008740B7">
              <w:rPr>
                <w:sz w:val="25"/>
                <w:szCs w:val="25"/>
                <w:lang w:val="lv-LV"/>
              </w:rPr>
              <w:t>”</w:t>
            </w:r>
            <w:r w:rsidRPr="008740B7">
              <w:rPr>
                <w:sz w:val="25"/>
                <w:szCs w:val="25"/>
                <w:lang w:val="lv-LV"/>
              </w:rPr>
              <w:t xml:space="preserve"> projektu iesniegumu atlases otro un </w:t>
            </w:r>
            <w:r w:rsidRPr="008740B7">
              <w:rPr>
                <w:sz w:val="25"/>
                <w:szCs w:val="25"/>
                <w:lang w:val="lv-LV"/>
              </w:rPr>
              <w:lastRenderedPageBreak/>
              <w:t>turpmākajām kārtām”:</w:t>
            </w:r>
          </w:p>
          <w:p w:rsidR="007A436D" w:rsidRPr="008740B7" w:rsidRDefault="007A436D" w:rsidP="00485772">
            <w:pPr>
              <w:pStyle w:val="ListParagraph"/>
              <w:numPr>
                <w:ilvl w:val="0"/>
                <w:numId w:val="9"/>
              </w:numPr>
              <w:jc w:val="both"/>
              <w:rPr>
                <w:rFonts w:eastAsia="Times New Roman"/>
                <w:sz w:val="25"/>
                <w:szCs w:val="25"/>
                <w:lang w:val="lv-LV" w:eastAsia="lv-LV"/>
              </w:rPr>
            </w:pPr>
            <w:r w:rsidRPr="008740B7">
              <w:rPr>
                <w:rFonts w:eastAsia="Times New Roman"/>
                <w:sz w:val="25"/>
                <w:szCs w:val="25"/>
                <w:lang w:val="lv-LV" w:eastAsia="lv-LV"/>
              </w:rPr>
              <w:t>jānosaka, ka minētie noteikumi attiecās uz projektu iesniegumu atlases otro kārtu – jāprecizē nosaukums;</w:t>
            </w:r>
          </w:p>
          <w:p w:rsidR="007A436D" w:rsidRPr="008740B7" w:rsidRDefault="007A436D" w:rsidP="00485772">
            <w:pPr>
              <w:pStyle w:val="ListParagraph"/>
              <w:numPr>
                <w:ilvl w:val="0"/>
                <w:numId w:val="9"/>
              </w:numPr>
              <w:jc w:val="both"/>
              <w:rPr>
                <w:rFonts w:eastAsia="Times New Roman"/>
                <w:sz w:val="25"/>
                <w:szCs w:val="25"/>
                <w:lang w:val="lv-LV" w:eastAsia="lv-LV"/>
              </w:rPr>
            </w:pPr>
            <w:r w:rsidRPr="008740B7">
              <w:rPr>
                <w:bCs/>
                <w:sz w:val="25"/>
                <w:szCs w:val="25"/>
                <w:lang w:val="lv-LV"/>
              </w:rPr>
              <w:t>jāsvītro atsauces uz turpmāko projektu iesniegumu atlases kārtu organizēšanu.</w:t>
            </w:r>
          </w:p>
        </w:tc>
      </w:tr>
      <w:tr w:rsidR="007A436D" w:rsidRPr="008740B7" w:rsidTr="007A436D">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7A436D" w:rsidRPr="008740B7" w:rsidRDefault="007A436D" w:rsidP="001B2729">
            <w:pPr>
              <w:jc w:val="both"/>
              <w:rPr>
                <w:rFonts w:eastAsia="Times New Roman"/>
                <w:sz w:val="25"/>
                <w:szCs w:val="25"/>
                <w:lang w:val="lv-LV" w:eastAsia="lv-LV"/>
              </w:rPr>
            </w:pPr>
            <w:r w:rsidRPr="008740B7">
              <w:rPr>
                <w:rFonts w:eastAsia="Times New Roman"/>
                <w:sz w:val="25"/>
                <w:szCs w:val="25"/>
                <w:lang w:val="lv-LV" w:eastAsia="lv-LV"/>
              </w:rPr>
              <w:lastRenderedPageBreak/>
              <w:t>2.</w:t>
            </w:r>
          </w:p>
        </w:tc>
        <w:tc>
          <w:tcPr>
            <w:tcW w:w="3118" w:type="dxa"/>
            <w:tcBorders>
              <w:top w:val="thickThinLargeGap" w:sz="6" w:space="0" w:color="C0C0C0"/>
              <w:left w:val="thickThinLargeGap" w:sz="6" w:space="0" w:color="C0C0C0"/>
              <w:bottom w:val="thickThinLargeGap" w:sz="6" w:space="0" w:color="C0C0C0"/>
              <w:right w:val="thickThinLargeGap" w:sz="6" w:space="0" w:color="C0C0C0"/>
            </w:tcBorders>
            <w:hideMark/>
          </w:tcPr>
          <w:p w:rsidR="007A436D" w:rsidRPr="008740B7" w:rsidRDefault="007A436D" w:rsidP="001B2729">
            <w:pPr>
              <w:jc w:val="both"/>
              <w:rPr>
                <w:rFonts w:eastAsia="Times New Roman"/>
                <w:sz w:val="25"/>
                <w:szCs w:val="25"/>
                <w:lang w:val="lv-LV" w:eastAsia="lv-LV"/>
              </w:rPr>
            </w:pPr>
            <w:r w:rsidRPr="008740B7">
              <w:rPr>
                <w:rFonts w:eastAsia="Times New Roman"/>
                <w:sz w:val="25"/>
                <w:szCs w:val="25"/>
                <w:lang w:val="lv-LV" w:eastAsia="lv-LV"/>
              </w:rPr>
              <w:t>Cita informācija</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rsidR="007A436D" w:rsidRPr="008740B7" w:rsidRDefault="007A436D" w:rsidP="001B2729">
            <w:pPr>
              <w:ind w:firstLine="720"/>
              <w:jc w:val="both"/>
              <w:rPr>
                <w:rFonts w:eastAsia="Times New Roman"/>
                <w:sz w:val="25"/>
                <w:szCs w:val="25"/>
                <w:lang w:val="lv-LV" w:eastAsia="lv-LV"/>
              </w:rPr>
            </w:pPr>
            <w:r w:rsidRPr="008740B7">
              <w:rPr>
                <w:rFonts w:eastAsia="Times New Roman"/>
                <w:sz w:val="25"/>
                <w:szCs w:val="25"/>
                <w:lang w:val="lv-LV" w:eastAsia="lv-LV"/>
              </w:rPr>
              <w:t>Nav.</w:t>
            </w:r>
          </w:p>
        </w:tc>
      </w:tr>
    </w:tbl>
    <w:p w:rsidR="00485772" w:rsidRPr="008740B7" w:rsidRDefault="00485772" w:rsidP="00485772">
      <w:pPr>
        <w:jc w:val="center"/>
        <w:rPr>
          <w:rFonts w:eastAsia="Times New Roman"/>
          <w:sz w:val="25"/>
          <w:szCs w:val="25"/>
          <w:lang w:eastAsia="lv-LV"/>
        </w:rPr>
      </w:pPr>
    </w:p>
    <w:p w:rsidR="00485772" w:rsidRPr="008740B7" w:rsidRDefault="00485772" w:rsidP="00CE5A53">
      <w:pPr>
        <w:pStyle w:val="NormalWeb"/>
        <w:spacing w:before="0" w:beforeAutospacing="0" w:after="0" w:afterAutospacing="0"/>
        <w:jc w:val="center"/>
        <w:rPr>
          <w:b/>
          <w:sz w:val="25"/>
          <w:szCs w:val="25"/>
          <w:lang w:val="lv-LV"/>
        </w:rPr>
      </w:pPr>
    </w:p>
    <w:tbl>
      <w:tblPr>
        <w:tblW w:w="5089" w:type="pct"/>
        <w:jc w:val="center"/>
        <w:tblInd w:w="2861" w:type="dxa"/>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Look w:val="01E0"/>
      </w:tblPr>
      <w:tblGrid>
        <w:gridCol w:w="475"/>
        <w:gridCol w:w="2803"/>
        <w:gridCol w:w="6174"/>
      </w:tblGrid>
      <w:tr w:rsidR="00CD45F0" w:rsidRPr="008740B7" w:rsidTr="00CD45F0">
        <w:trPr>
          <w:jc w:val="center"/>
        </w:trPr>
        <w:tc>
          <w:tcPr>
            <w:tcW w:w="5000" w:type="pct"/>
            <w:gridSpan w:val="3"/>
          </w:tcPr>
          <w:p w:rsidR="00CD45F0" w:rsidRPr="008740B7" w:rsidRDefault="00CD45F0" w:rsidP="001B2729">
            <w:pPr>
              <w:pStyle w:val="naisnod"/>
              <w:spacing w:before="0" w:after="0"/>
              <w:rPr>
                <w:sz w:val="25"/>
                <w:szCs w:val="25"/>
              </w:rPr>
            </w:pPr>
            <w:r w:rsidRPr="008740B7">
              <w:rPr>
                <w:sz w:val="25"/>
                <w:szCs w:val="25"/>
              </w:rPr>
              <w:t>V. Tiesību akta projekta atbilstība Latvijas Republikas starptautiskajām saistībām</w:t>
            </w:r>
          </w:p>
        </w:tc>
      </w:tr>
      <w:tr w:rsidR="00CD45F0" w:rsidRPr="000E0E01" w:rsidTr="00CD45F0">
        <w:trPr>
          <w:jc w:val="center"/>
        </w:trPr>
        <w:tc>
          <w:tcPr>
            <w:tcW w:w="251" w:type="pct"/>
          </w:tcPr>
          <w:p w:rsidR="00CD45F0" w:rsidRPr="008740B7" w:rsidRDefault="00CD45F0" w:rsidP="001B2729">
            <w:pPr>
              <w:pStyle w:val="naiskr"/>
              <w:tabs>
                <w:tab w:val="left" w:pos="2628"/>
              </w:tabs>
              <w:spacing w:before="0" w:after="0"/>
              <w:jc w:val="both"/>
              <w:rPr>
                <w:sz w:val="25"/>
                <w:szCs w:val="25"/>
              </w:rPr>
            </w:pPr>
            <w:r w:rsidRPr="008740B7">
              <w:rPr>
                <w:sz w:val="25"/>
                <w:szCs w:val="25"/>
              </w:rPr>
              <w:t>1.</w:t>
            </w:r>
          </w:p>
        </w:tc>
        <w:tc>
          <w:tcPr>
            <w:tcW w:w="1483" w:type="pct"/>
          </w:tcPr>
          <w:p w:rsidR="00CD45F0" w:rsidRPr="008740B7" w:rsidRDefault="00CD45F0" w:rsidP="001B2729">
            <w:pPr>
              <w:pStyle w:val="naiskr"/>
              <w:tabs>
                <w:tab w:val="left" w:pos="2628"/>
              </w:tabs>
              <w:spacing w:before="0" w:after="0"/>
              <w:jc w:val="both"/>
              <w:rPr>
                <w:iCs/>
                <w:sz w:val="25"/>
                <w:szCs w:val="25"/>
              </w:rPr>
            </w:pPr>
            <w:r w:rsidRPr="008740B7">
              <w:rPr>
                <w:sz w:val="25"/>
                <w:szCs w:val="25"/>
              </w:rPr>
              <w:t>Saistības pret Eiropas Savienību</w:t>
            </w:r>
          </w:p>
          <w:p w:rsidR="00CD45F0" w:rsidRPr="008740B7" w:rsidRDefault="00CD45F0" w:rsidP="001B2729">
            <w:pPr>
              <w:rPr>
                <w:sz w:val="25"/>
                <w:szCs w:val="25"/>
                <w:lang w:val="lv-LV" w:eastAsia="lv-LV"/>
              </w:rPr>
            </w:pPr>
          </w:p>
          <w:p w:rsidR="00CD45F0" w:rsidRPr="008740B7" w:rsidRDefault="00CD45F0" w:rsidP="001B2729">
            <w:pPr>
              <w:rPr>
                <w:sz w:val="25"/>
                <w:szCs w:val="25"/>
                <w:lang w:val="lv-LV" w:eastAsia="lv-LV"/>
              </w:rPr>
            </w:pPr>
          </w:p>
          <w:p w:rsidR="00CD45F0" w:rsidRPr="008740B7" w:rsidRDefault="00CD45F0" w:rsidP="001B2729">
            <w:pPr>
              <w:rPr>
                <w:sz w:val="25"/>
                <w:szCs w:val="25"/>
                <w:lang w:val="lv-LV" w:eastAsia="lv-LV"/>
              </w:rPr>
            </w:pPr>
          </w:p>
          <w:p w:rsidR="00CD45F0" w:rsidRPr="008740B7" w:rsidRDefault="00CD45F0" w:rsidP="001B2729">
            <w:pPr>
              <w:ind w:firstLine="720"/>
              <w:rPr>
                <w:sz w:val="25"/>
                <w:szCs w:val="25"/>
                <w:lang w:val="lv-LV" w:eastAsia="lv-LV"/>
              </w:rPr>
            </w:pPr>
          </w:p>
        </w:tc>
        <w:tc>
          <w:tcPr>
            <w:tcW w:w="3266" w:type="pct"/>
          </w:tcPr>
          <w:p w:rsidR="00CD45F0" w:rsidRPr="008740B7" w:rsidRDefault="00CD45F0" w:rsidP="001B2729">
            <w:pPr>
              <w:ind w:firstLine="366"/>
              <w:jc w:val="both"/>
              <w:rPr>
                <w:sz w:val="25"/>
                <w:szCs w:val="25"/>
                <w:lang w:val="lv-LV"/>
              </w:rPr>
            </w:pPr>
            <w:r w:rsidRPr="008740B7">
              <w:rPr>
                <w:sz w:val="25"/>
                <w:szCs w:val="25"/>
                <w:lang w:val="lv-LV"/>
              </w:rPr>
              <w:t xml:space="preserve">Ar normatīvo aktu tiek ieviestas šādas Eiropas Savienības tiesību akta prasības: </w:t>
            </w:r>
          </w:p>
          <w:p w:rsidR="00CD45F0" w:rsidRPr="008740B7" w:rsidRDefault="00CD45F0" w:rsidP="00BF1311">
            <w:pPr>
              <w:pStyle w:val="ListParagraph"/>
              <w:numPr>
                <w:ilvl w:val="0"/>
                <w:numId w:val="10"/>
              </w:numPr>
              <w:ind w:left="366" w:hanging="284"/>
              <w:jc w:val="both"/>
              <w:rPr>
                <w:sz w:val="25"/>
                <w:szCs w:val="25"/>
                <w:lang w:val="lv-LV"/>
              </w:rPr>
            </w:pPr>
            <w:r w:rsidRPr="008740B7">
              <w:rPr>
                <w:sz w:val="25"/>
                <w:szCs w:val="25"/>
                <w:lang w:val="lv-LV"/>
              </w:rPr>
              <w:t>Padomes 2006.gada 11.jūlija Regula (EK) Nr.1083/2006, ar ko paredz vispārīgus noteikumus par Eiropas Reģionālās attīstības fondu, Eiropas Sociālo fondu un Kohēzijas fondu un atceļ Regulu (EK) Nr.1260/1999 (turpmāk – Padomes Regula Nr.1083/2006).</w:t>
            </w:r>
          </w:p>
          <w:p w:rsidR="00CD45F0" w:rsidRPr="008740B7" w:rsidRDefault="00CD45F0" w:rsidP="00BF1311">
            <w:pPr>
              <w:pStyle w:val="naiskr"/>
              <w:numPr>
                <w:ilvl w:val="0"/>
                <w:numId w:val="10"/>
              </w:numPr>
              <w:tabs>
                <w:tab w:val="left" w:pos="2628"/>
              </w:tabs>
              <w:spacing w:before="0" w:after="0"/>
              <w:ind w:left="366" w:hanging="284"/>
              <w:jc w:val="both"/>
              <w:rPr>
                <w:i/>
                <w:iCs/>
                <w:sz w:val="25"/>
                <w:szCs w:val="25"/>
              </w:rPr>
            </w:pPr>
            <w:r w:rsidRPr="008740B7">
              <w:rPr>
                <w:sz w:val="25"/>
                <w:szCs w:val="25"/>
              </w:rPr>
              <w:t>Komisijas 2008.gada 6.augusta Regula (EK) Nr.800/2008, kas atzīst noteiktas atbalsta kategorijas par saderīgām ar kopējo tirgu, piemērojot Līguma 87. un 88.pantu (vispārējā grupu atbrīvojuma regula) (turpmāk – Komisijas Regula Nr.800/2008);</w:t>
            </w:r>
          </w:p>
        </w:tc>
      </w:tr>
      <w:tr w:rsidR="00CD45F0" w:rsidRPr="008740B7" w:rsidTr="00CD45F0">
        <w:trPr>
          <w:jc w:val="center"/>
        </w:trPr>
        <w:tc>
          <w:tcPr>
            <w:tcW w:w="251" w:type="pct"/>
          </w:tcPr>
          <w:p w:rsidR="00CD45F0" w:rsidRPr="008740B7" w:rsidRDefault="00CD45F0" w:rsidP="001B2729">
            <w:pPr>
              <w:pStyle w:val="naiskr"/>
              <w:tabs>
                <w:tab w:val="left" w:pos="2628"/>
              </w:tabs>
              <w:spacing w:before="0" w:after="0"/>
              <w:jc w:val="both"/>
              <w:rPr>
                <w:sz w:val="25"/>
                <w:szCs w:val="25"/>
              </w:rPr>
            </w:pPr>
            <w:r w:rsidRPr="008740B7">
              <w:rPr>
                <w:sz w:val="25"/>
                <w:szCs w:val="25"/>
              </w:rPr>
              <w:t>2.</w:t>
            </w:r>
          </w:p>
        </w:tc>
        <w:tc>
          <w:tcPr>
            <w:tcW w:w="1483" w:type="pct"/>
          </w:tcPr>
          <w:p w:rsidR="00CD45F0" w:rsidRPr="008740B7" w:rsidRDefault="00CD45F0" w:rsidP="001B2729">
            <w:pPr>
              <w:pStyle w:val="naiskr"/>
              <w:tabs>
                <w:tab w:val="left" w:pos="2628"/>
              </w:tabs>
              <w:spacing w:before="0" w:after="0"/>
              <w:jc w:val="both"/>
              <w:rPr>
                <w:iCs/>
                <w:sz w:val="25"/>
                <w:szCs w:val="25"/>
              </w:rPr>
            </w:pPr>
            <w:r w:rsidRPr="008740B7">
              <w:rPr>
                <w:sz w:val="25"/>
                <w:szCs w:val="25"/>
              </w:rPr>
              <w:t>Citas starptautiskās saistības</w:t>
            </w:r>
          </w:p>
        </w:tc>
        <w:tc>
          <w:tcPr>
            <w:tcW w:w="3266" w:type="pct"/>
          </w:tcPr>
          <w:p w:rsidR="00CD45F0" w:rsidRPr="008740B7" w:rsidRDefault="00CD45F0" w:rsidP="001B2729">
            <w:pPr>
              <w:pStyle w:val="naiskr"/>
              <w:tabs>
                <w:tab w:val="left" w:pos="2628"/>
              </w:tabs>
              <w:spacing w:before="0" w:after="0"/>
              <w:jc w:val="both"/>
              <w:rPr>
                <w:iCs/>
                <w:sz w:val="25"/>
                <w:szCs w:val="25"/>
              </w:rPr>
            </w:pPr>
            <w:r w:rsidRPr="008740B7">
              <w:rPr>
                <w:iCs/>
                <w:sz w:val="25"/>
                <w:szCs w:val="25"/>
              </w:rPr>
              <w:t>Nav.</w:t>
            </w:r>
          </w:p>
        </w:tc>
      </w:tr>
      <w:tr w:rsidR="00CD45F0" w:rsidRPr="008740B7" w:rsidTr="00CD45F0">
        <w:trPr>
          <w:jc w:val="center"/>
        </w:trPr>
        <w:tc>
          <w:tcPr>
            <w:tcW w:w="251" w:type="pct"/>
            <w:tcBorders>
              <w:bottom w:val="double" w:sz="6" w:space="0" w:color="BFBFBF"/>
            </w:tcBorders>
          </w:tcPr>
          <w:p w:rsidR="00CD45F0" w:rsidRPr="008740B7" w:rsidRDefault="00CD45F0" w:rsidP="001B2729">
            <w:pPr>
              <w:pStyle w:val="naiskr"/>
              <w:tabs>
                <w:tab w:val="left" w:pos="2628"/>
              </w:tabs>
              <w:spacing w:before="0" w:after="0"/>
              <w:jc w:val="both"/>
              <w:rPr>
                <w:sz w:val="25"/>
                <w:szCs w:val="25"/>
              </w:rPr>
            </w:pPr>
            <w:r w:rsidRPr="008740B7">
              <w:rPr>
                <w:sz w:val="25"/>
                <w:szCs w:val="25"/>
              </w:rPr>
              <w:t>3.</w:t>
            </w:r>
          </w:p>
        </w:tc>
        <w:tc>
          <w:tcPr>
            <w:tcW w:w="1483" w:type="pct"/>
            <w:tcBorders>
              <w:bottom w:val="double" w:sz="6" w:space="0" w:color="BFBFBF"/>
            </w:tcBorders>
          </w:tcPr>
          <w:p w:rsidR="00CD45F0" w:rsidRPr="008740B7" w:rsidRDefault="00CD45F0" w:rsidP="001B2729">
            <w:pPr>
              <w:pStyle w:val="naiskr"/>
              <w:tabs>
                <w:tab w:val="left" w:pos="2628"/>
              </w:tabs>
              <w:spacing w:before="0" w:after="0"/>
              <w:jc w:val="both"/>
              <w:rPr>
                <w:sz w:val="25"/>
                <w:szCs w:val="25"/>
              </w:rPr>
            </w:pPr>
            <w:r w:rsidRPr="008740B7">
              <w:rPr>
                <w:sz w:val="25"/>
                <w:szCs w:val="25"/>
              </w:rPr>
              <w:t>Cita informācija</w:t>
            </w:r>
          </w:p>
        </w:tc>
        <w:tc>
          <w:tcPr>
            <w:tcW w:w="3266" w:type="pct"/>
            <w:tcBorders>
              <w:bottom w:val="double" w:sz="6" w:space="0" w:color="BFBFBF"/>
            </w:tcBorders>
          </w:tcPr>
          <w:p w:rsidR="00CD45F0" w:rsidRPr="008740B7" w:rsidRDefault="00CD45F0" w:rsidP="001B2729">
            <w:pPr>
              <w:pStyle w:val="naiskr"/>
              <w:tabs>
                <w:tab w:val="left" w:pos="2628"/>
              </w:tabs>
              <w:spacing w:before="0" w:after="0"/>
              <w:jc w:val="both"/>
              <w:rPr>
                <w:iCs/>
                <w:sz w:val="25"/>
                <w:szCs w:val="25"/>
              </w:rPr>
            </w:pPr>
            <w:r w:rsidRPr="008740B7">
              <w:rPr>
                <w:sz w:val="25"/>
                <w:szCs w:val="25"/>
              </w:rPr>
              <w:t>Nav.</w:t>
            </w:r>
          </w:p>
        </w:tc>
      </w:tr>
    </w:tbl>
    <w:p w:rsidR="00BF1311" w:rsidRPr="008740B7" w:rsidRDefault="00BF1311" w:rsidP="00B008D3">
      <w:pPr>
        <w:pStyle w:val="NormalWeb"/>
        <w:spacing w:before="0" w:beforeAutospacing="0" w:after="0" w:afterAutospacing="0"/>
        <w:rPr>
          <w:b/>
          <w:sz w:val="25"/>
          <w:szCs w:val="25"/>
          <w:lang w:val="lv-LV"/>
        </w:rPr>
      </w:pPr>
    </w:p>
    <w:p w:rsidR="00BF1311" w:rsidRPr="008740B7" w:rsidRDefault="00BF1311" w:rsidP="00B008D3">
      <w:pPr>
        <w:pStyle w:val="NormalWeb"/>
        <w:spacing w:before="0" w:beforeAutospacing="0" w:after="0" w:afterAutospacing="0"/>
        <w:rPr>
          <w:b/>
          <w:sz w:val="25"/>
          <w:szCs w:val="25"/>
          <w:lang w:val="lv-LV"/>
        </w:rPr>
      </w:pPr>
    </w:p>
    <w:tbl>
      <w:tblPr>
        <w:tblW w:w="5000" w:type="pct"/>
        <w:jc w:val="center"/>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top w:w="28" w:type="dxa"/>
          <w:left w:w="28" w:type="dxa"/>
          <w:bottom w:w="28" w:type="dxa"/>
          <w:right w:w="28" w:type="dxa"/>
        </w:tblCellMar>
        <w:tblLook w:val="0000"/>
      </w:tblPr>
      <w:tblGrid>
        <w:gridCol w:w="1487"/>
        <w:gridCol w:w="977"/>
        <w:gridCol w:w="2105"/>
        <w:gridCol w:w="2302"/>
        <w:gridCol w:w="2256"/>
      </w:tblGrid>
      <w:tr w:rsidR="00BF1311" w:rsidRPr="000E0E01" w:rsidTr="00BF1311">
        <w:trPr>
          <w:trHeight w:val="839"/>
          <w:jc w:val="center"/>
        </w:trPr>
        <w:tc>
          <w:tcPr>
            <w:tcW w:w="5000" w:type="pct"/>
            <w:gridSpan w:val="5"/>
            <w:vAlign w:val="center"/>
          </w:tcPr>
          <w:p w:rsidR="00BF1311" w:rsidRPr="008740B7" w:rsidRDefault="00BF1311" w:rsidP="00BF1311">
            <w:pPr>
              <w:pStyle w:val="naisnod"/>
              <w:spacing w:before="0" w:after="0"/>
              <w:rPr>
                <w:sz w:val="25"/>
                <w:szCs w:val="25"/>
              </w:rPr>
            </w:pPr>
            <w:r w:rsidRPr="008740B7">
              <w:rPr>
                <w:sz w:val="25"/>
                <w:szCs w:val="25"/>
              </w:rPr>
              <w:t xml:space="preserve">1.tabula </w:t>
            </w:r>
          </w:p>
          <w:p w:rsidR="00BF1311" w:rsidRPr="008740B7" w:rsidRDefault="00BF1311" w:rsidP="00BF1311">
            <w:pPr>
              <w:jc w:val="center"/>
              <w:rPr>
                <w:b/>
                <w:sz w:val="25"/>
                <w:szCs w:val="25"/>
                <w:lang w:val="lv-LV"/>
              </w:rPr>
            </w:pPr>
            <w:r w:rsidRPr="008740B7">
              <w:rPr>
                <w:b/>
                <w:sz w:val="25"/>
                <w:szCs w:val="25"/>
                <w:lang w:val="lv-LV"/>
              </w:rPr>
              <w:t>Tiesību akta projekta atbilstība ES tiesību aktiem</w:t>
            </w:r>
          </w:p>
        </w:tc>
      </w:tr>
      <w:tr w:rsidR="00BF1311" w:rsidRPr="008740B7" w:rsidTr="00C3627B">
        <w:trPr>
          <w:trHeight w:val="1252"/>
          <w:jc w:val="center"/>
        </w:trPr>
        <w:tc>
          <w:tcPr>
            <w:tcW w:w="815" w:type="pct"/>
            <w:vAlign w:val="center"/>
          </w:tcPr>
          <w:p w:rsidR="00BF1311" w:rsidRPr="008740B7" w:rsidRDefault="00BF1311" w:rsidP="001B2729">
            <w:pPr>
              <w:pStyle w:val="naiskr"/>
              <w:spacing w:before="0" w:after="0"/>
              <w:ind w:hanging="10"/>
              <w:jc w:val="center"/>
              <w:rPr>
                <w:sz w:val="25"/>
                <w:szCs w:val="25"/>
              </w:rPr>
            </w:pPr>
            <w:r w:rsidRPr="008740B7">
              <w:rPr>
                <w:sz w:val="25"/>
                <w:szCs w:val="25"/>
              </w:rPr>
              <w:t>Attiecīgā ES tiesību akta datums, numurs un nosaukums</w:t>
            </w:r>
          </w:p>
        </w:tc>
        <w:tc>
          <w:tcPr>
            <w:tcW w:w="4185" w:type="pct"/>
            <w:gridSpan w:val="4"/>
            <w:vAlign w:val="center"/>
          </w:tcPr>
          <w:p w:rsidR="00BF1311" w:rsidRPr="008740B7" w:rsidRDefault="00BF1311" w:rsidP="001B2729">
            <w:pPr>
              <w:jc w:val="both"/>
              <w:rPr>
                <w:sz w:val="25"/>
                <w:szCs w:val="25"/>
                <w:lang w:val="lv-LV"/>
              </w:rPr>
            </w:pPr>
            <w:r w:rsidRPr="008740B7">
              <w:rPr>
                <w:sz w:val="25"/>
                <w:szCs w:val="25"/>
                <w:lang w:val="lv-LV"/>
              </w:rPr>
              <w:t xml:space="preserve">Ar normatīvo aktu tiek ieviestas šādas Eiropas Savienības tiesību akta prasības: </w:t>
            </w:r>
          </w:p>
          <w:p w:rsidR="00BF1311" w:rsidRPr="008740B7" w:rsidRDefault="00BF1311" w:rsidP="001B2729">
            <w:pPr>
              <w:rPr>
                <w:sz w:val="25"/>
                <w:szCs w:val="25"/>
                <w:lang w:val="lv-LV"/>
              </w:rPr>
            </w:pPr>
          </w:p>
          <w:p w:rsidR="00BF1311" w:rsidRPr="008740B7" w:rsidRDefault="00BF1311" w:rsidP="001B2729">
            <w:pPr>
              <w:jc w:val="both"/>
              <w:rPr>
                <w:sz w:val="25"/>
                <w:szCs w:val="25"/>
                <w:lang w:val="lv-LV"/>
              </w:rPr>
            </w:pPr>
            <w:r w:rsidRPr="008740B7">
              <w:rPr>
                <w:sz w:val="25"/>
                <w:szCs w:val="25"/>
                <w:lang w:val="lv-LV"/>
              </w:rPr>
              <w:t>Padomes Regula Nr.1083/2006;</w:t>
            </w:r>
          </w:p>
          <w:p w:rsidR="00BF1311" w:rsidRPr="008740B7" w:rsidRDefault="00BF1311" w:rsidP="001B2729">
            <w:pPr>
              <w:jc w:val="both"/>
              <w:rPr>
                <w:sz w:val="25"/>
                <w:szCs w:val="25"/>
                <w:lang w:val="lv-LV"/>
              </w:rPr>
            </w:pPr>
          </w:p>
          <w:p w:rsidR="00BF1311" w:rsidRPr="008740B7" w:rsidRDefault="00BF1311" w:rsidP="001B2729">
            <w:pPr>
              <w:rPr>
                <w:sz w:val="25"/>
                <w:szCs w:val="25"/>
                <w:lang w:val="lv-LV"/>
              </w:rPr>
            </w:pPr>
          </w:p>
          <w:p w:rsidR="00BF1311" w:rsidRPr="008740B7" w:rsidRDefault="00BF1311" w:rsidP="001B2729">
            <w:pPr>
              <w:rPr>
                <w:i/>
                <w:sz w:val="25"/>
                <w:szCs w:val="25"/>
                <w:lang w:val="lv-LV"/>
              </w:rPr>
            </w:pPr>
            <w:r w:rsidRPr="008740B7">
              <w:rPr>
                <w:rFonts w:eastAsia="Times New Roman"/>
                <w:sz w:val="25"/>
                <w:szCs w:val="25"/>
                <w:lang w:val="lv-LV" w:eastAsia="lv-LV"/>
              </w:rPr>
              <w:t>Komisijas Regula Nr.800/2008</w:t>
            </w:r>
          </w:p>
        </w:tc>
      </w:tr>
      <w:tr w:rsidR="00BF1311" w:rsidRPr="008740B7" w:rsidTr="001B2729">
        <w:trPr>
          <w:trHeight w:val="163"/>
          <w:jc w:val="center"/>
        </w:trPr>
        <w:tc>
          <w:tcPr>
            <w:tcW w:w="5000" w:type="pct"/>
            <w:gridSpan w:val="5"/>
            <w:vAlign w:val="center"/>
          </w:tcPr>
          <w:p w:rsidR="00BF1311" w:rsidRPr="008740B7" w:rsidRDefault="00BF1311" w:rsidP="001B2729">
            <w:pPr>
              <w:pStyle w:val="naiskr"/>
              <w:spacing w:before="0" w:after="0"/>
              <w:rPr>
                <w:i/>
                <w:sz w:val="25"/>
                <w:szCs w:val="25"/>
              </w:rPr>
            </w:pPr>
          </w:p>
        </w:tc>
      </w:tr>
      <w:tr w:rsidR="00BF1311" w:rsidRPr="008740B7" w:rsidTr="00C3627B">
        <w:trPr>
          <w:trHeight w:val="165"/>
          <w:jc w:val="center"/>
        </w:trPr>
        <w:tc>
          <w:tcPr>
            <w:tcW w:w="1350" w:type="pct"/>
            <w:gridSpan w:val="2"/>
            <w:vAlign w:val="center"/>
          </w:tcPr>
          <w:p w:rsidR="00BF1311" w:rsidRPr="008740B7" w:rsidRDefault="00BF1311" w:rsidP="001B2729">
            <w:pPr>
              <w:pStyle w:val="naiskr"/>
              <w:spacing w:before="0" w:after="0"/>
              <w:jc w:val="center"/>
              <w:rPr>
                <w:sz w:val="25"/>
                <w:szCs w:val="25"/>
              </w:rPr>
            </w:pPr>
            <w:r w:rsidRPr="008740B7">
              <w:rPr>
                <w:sz w:val="25"/>
                <w:szCs w:val="25"/>
              </w:rPr>
              <w:t>A</w:t>
            </w:r>
          </w:p>
        </w:tc>
        <w:tc>
          <w:tcPr>
            <w:tcW w:w="1153" w:type="pct"/>
            <w:vAlign w:val="center"/>
          </w:tcPr>
          <w:p w:rsidR="00BF1311" w:rsidRPr="008740B7" w:rsidRDefault="00BF1311" w:rsidP="001B2729">
            <w:pPr>
              <w:pStyle w:val="naiskr"/>
              <w:spacing w:before="0" w:after="0"/>
              <w:jc w:val="center"/>
              <w:rPr>
                <w:sz w:val="25"/>
                <w:szCs w:val="25"/>
              </w:rPr>
            </w:pPr>
            <w:r w:rsidRPr="008740B7">
              <w:rPr>
                <w:sz w:val="25"/>
                <w:szCs w:val="25"/>
              </w:rPr>
              <w:t>B</w:t>
            </w:r>
          </w:p>
        </w:tc>
        <w:tc>
          <w:tcPr>
            <w:tcW w:w="1261" w:type="pct"/>
            <w:vAlign w:val="center"/>
          </w:tcPr>
          <w:p w:rsidR="00BF1311" w:rsidRPr="008740B7" w:rsidRDefault="00BF1311" w:rsidP="001B2729">
            <w:pPr>
              <w:pStyle w:val="naiskr"/>
              <w:spacing w:before="0" w:after="0"/>
              <w:jc w:val="center"/>
              <w:rPr>
                <w:sz w:val="25"/>
                <w:szCs w:val="25"/>
              </w:rPr>
            </w:pPr>
            <w:r w:rsidRPr="008740B7">
              <w:rPr>
                <w:sz w:val="25"/>
                <w:szCs w:val="25"/>
              </w:rPr>
              <w:t>C</w:t>
            </w:r>
          </w:p>
        </w:tc>
        <w:tc>
          <w:tcPr>
            <w:tcW w:w="1235" w:type="pct"/>
            <w:vAlign w:val="center"/>
          </w:tcPr>
          <w:p w:rsidR="00BF1311" w:rsidRPr="008740B7" w:rsidRDefault="00BF1311" w:rsidP="001B2729">
            <w:pPr>
              <w:pStyle w:val="naiskr"/>
              <w:spacing w:before="0" w:after="0"/>
              <w:jc w:val="center"/>
              <w:rPr>
                <w:sz w:val="25"/>
                <w:szCs w:val="25"/>
              </w:rPr>
            </w:pPr>
            <w:r w:rsidRPr="008740B7">
              <w:rPr>
                <w:sz w:val="25"/>
                <w:szCs w:val="25"/>
              </w:rPr>
              <w:t>D</w:t>
            </w:r>
          </w:p>
        </w:tc>
      </w:tr>
      <w:tr w:rsidR="00BF1311" w:rsidRPr="000E0E01" w:rsidTr="00C3627B">
        <w:trPr>
          <w:trHeight w:val="1495"/>
          <w:jc w:val="center"/>
        </w:trPr>
        <w:tc>
          <w:tcPr>
            <w:tcW w:w="1350" w:type="pct"/>
            <w:gridSpan w:val="2"/>
          </w:tcPr>
          <w:p w:rsidR="00BF1311" w:rsidRPr="008740B7" w:rsidRDefault="00BF1311" w:rsidP="001B2729">
            <w:pPr>
              <w:pStyle w:val="naiskr"/>
              <w:spacing w:before="0" w:after="0"/>
              <w:rPr>
                <w:sz w:val="25"/>
                <w:szCs w:val="25"/>
              </w:rPr>
            </w:pPr>
            <w:r w:rsidRPr="008740B7">
              <w:rPr>
                <w:sz w:val="25"/>
                <w:szCs w:val="25"/>
              </w:rPr>
              <w:lastRenderedPageBreak/>
              <w:t xml:space="preserve">Attiecīgā ES tiesību akta panta numurs (uzskaitot katru tiesību akta </w:t>
            </w:r>
            <w:r w:rsidRPr="008740B7">
              <w:rPr>
                <w:sz w:val="25"/>
                <w:szCs w:val="25"/>
              </w:rPr>
              <w:br/>
              <w:t>vienību – pantu, daļu, punktu, apakšpunktu)</w:t>
            </w:r>
          </w:p>
        </w:tc>
        <w:tc>
          <w:tcPr>
            <w:tcW w:w="1153" w:type="pct"/>
          </w:tcPr>
          <w:p w:rsidR="00BF1311" w:rsidRPr="008740B7" w:rsidRDefault="00BF1311" w:rsidP="001B2729">
            <w:pPr>
              <w:pStyle w:val="naiskr"/>
              <w:spacing w:before="0" w:after="0"/>
              <w:rPr>
                <w:sz w:val="25"/>
                <w:szCs w:val="25"/>
              </w:rPr>
            </w:pPr>
            <w:r w:rsidRPr="008740B7">
              <w:rPr>
                <w:sz w:val="25"/>
                <w:szCs w:val="25"/>
              </w:rPr>
              <w:t>Projekta vienība, kas pārņem vai ievieš katru šīs tabulas A ailē minēto ES tiesību akta vienību</w:t>
            </w:r>
          </w:p>
        </w:tc>
        <w:tc>
          <w:tcPr>
            <w:tcW w:w="1261" w:type="pct"/>
          </w:tcPr>
          <w:p w:rsidR="00BF1311" w:rsidRPr="008740B7" w:rsidRDefault="00BF1311" w:rsidP="001B2729">
            <w:pPr>
              <w:pStyle w:val="naiskr"/>
              <w:spacing w:before="0" w:after="0"/>
              <w:rPr>
                <w:sz w:val="25"/>
                <w:szCs w:val="25"/>
              </w:rPr>
            </w:pPr>
            <w:r w:rsidRPr="008740B7">
              <w:rPr>
                <w:sz w:val="25"/>
                <w:szCs w:val="25"/>
              </w:rPr>
              <w:t>Informācija par to, vai šīs tabulas A ailē minētās ES tiesību akta vienības tiek pārņemtas vai ieviestas pilnībā vai daļēji.</w:t>
            </w:r>
          </w:p>
          <w:p w:rsidR="00BF1311" w:rsidRPr="008740B7" w:rsidRDefault="00BF1311" w:rsidP="001B2729">
            <w:pPr>
              <w:pStyle w:val="naiskr"/>
              <w:spacing w:before="0" w:after="0"/>
              <w:rPr>
                <w:sz w:val="25"/>
                <w:szCs w:val="25"/>
              </w:rPr>
            </w:pPr>
          </w:p>
          <w:p w:rsidR="00BF1311" w:rsidRPr="008740B7" w:rsidRDefault="00BF1311" w:rsidP="001B2729">
            <w:pPr>
              <w:pStyle w:val="naiskr"/>
              <w:spacing w:before="0" w:after="0"/>
              <w:rPr>
                <w:sz w:val="25"/>
                <w:szCs w:val="25"/>
              </w:rPr>
            </w:pPr>
            <w:r w:rsidRPr="008740B7">
              <w:rPr>
                <w:sz w:val="25"/>
                <w:szCs w:val="25"/>
              </w:rPr>
              <w:t>Ja attiecīgā ES tiesību akta vienība tiek pārņemta vai ieviesta daļēji, – sniedz attiecīgu skaidrojumu, kā arī precīzi norāda, kad un kādā veidā ES tiesību akta vienība tiks pārņemta vai ieviesta pilnībā.</w:t>
            </w:r>
          </w:p>
          <w:p w:rsidR="00BF1311" w:rsidRPr="008740B7" w:rsidRDefault="00BF1311" w:rsidP="001B2729">
            <w:pPr>
              <w:pStyle w:val="naiskr"/>
              <w:spacing w:before="0" w:after="0"/>
              <w:rPr>
                <w:sz w:val="25"/>
                <w:szCs w:val="25"/>
              </w:rPr>
            </w:pPr>
          </w:p>
          <w:p w:rsidR="00BF1311" w:rsidRPr="008740B7" w:rsidRDefault="00BF1311" w:rsidP="001B2729">
            <w:pPr>
              <w:pStyle w:val="naiskr"/>
              <w:spacing w:before="0" w:after="0"/>
              <w:rPr>
                <w:sz w:val="25"/>
                <w:szCs w:val="25"/>
              </w:rPr>
            </w:pPr>
            <w:r w:rsidRPr="008740B7">
              <w:rPr>
                <w:sz w:val="25"/>
                <w:szCs w:val="25"/>
              </w:rPr>
              <w:t>Norāda institūciju, kas ir atbildīga par šo saistību izpildi pilnībā</w:t>
            </w:r>
          </w:p>
        </w:tc>
        <w:tc>
          <w:tcPr>
            <w:tcW w:w="1235" w:type="pct"/>
          </w:tcPr>
          <w:p w:rsidR="00BF1311" w:rsidRPr="008740B7" w:rsidRDefault="00BF1311" w:rsidP="001B2729">
            <w:pPr>
              <w:pStyle w:val="naiskr"/>
              <w:spacing w:before="0" w:after="0"/>
              <w:rPr>
                <w:sz w:val="25"/>
                <w:szCs w:val="25"/>
              </w:rPr>
            </w:pPr>
            <w:r w:rsidRPr="008740B7">
              <w:rPr>
                <w:sz w:val="25"/>
                <w:szCs w:val="25"/>
              </w:rPr>
              <w:t>Informācija par to, vai šīs tabulas B ailē minētās projekta vienības paredz stingrākas prasības nekā šīs tabulas A ailē minētās ES tiesību akta vienības.</w:t>
            </w:r>
          </w:p>
          <w:p w:rsidR="00BF1311" w:rsidRPr="008740B7" w:rsidRDefault="00BF1311" w:rsidP="001B2729">
            <w:pPr>
              <w:pStyle w:val="naiskr"/>
              <w:spacing w:before="0" w:after="0"/>
              <w:rPr>
                <w:sz w:val="25"/>
                <w:szCs w:val="25"/>
              </w:rPr>
            </w:pPr>
          </w:p>
          <w:p w:rsidR="00BF1311" w:rsidRPr="008740B7" w:rsidRDefault="00BF1311" w:rsidP="001B2729">
            <w:pPr>
              <w:pStyle w:val="naiskr"/>
              <w:spacing w:before="0" w:after="0"/>
              <w:rPr>
                <w:sz w:val="25"/>
                <w:szCs w:val="25"/>
              </w:rPr>
            </w:pPr>
            <w:r w:rsidRPr="008740B7">
              <w:rPr>
                <w:sz w:val="25"/>
                <w:szCs w:val="25"/>
              </w:rPr>
              <w:t>Ja projekts satur stingrākas prasības nekā attiecīgais ES tiesību akts, – norāda pamatojumu un samērīgumu.</w:t>
            </w:r>
          </w:p>
          <w:p w:rsidR="00BF1311" w:rsidRPr="008740B7" w:rsidRDefault="00BF1311" w:rsidP="001B2729">
            <w:pPr>
              <w:pStyle w:val="naiskr"/>
              <w:spacing w:before="0" w:after="0"/>
              <w:rPr>
                <w:sz w:val="25"/>
                <w:szCs w:val="25"/>
              </w:rPr>
            </w:pPr>
          </w:p>
          <w:p w:rsidR="00BF1311" w:rsidRPr="008740B7" w:rsidRDefault="00BF1311" w:rsidP="001B2729">
            <w:pPr>
              <w:pStyle w:val="naiskr"/>
              <w:spacing w:before="0" w:after="0"/>
              <w:rPr>
                <w:sz w:val="25"/>
                <w:szCs w:val="25"/>
              </w:rPr>
            </w:pPr>
            <w:r w:rsidRPr="008740B7">
              <w:rPr>
                <w:sz w:val="25"/>
                <w:szCs w:val="25"/>
              </w:rPr>
              <w:t>Norāda iespējamās alternatīvas (t.sk. alternatīvas, kas neparedz tiesiskā regulējuma izstrādi) – kādos gadījumos būtu iespējams izvairīties no stingrāku prasību noteikšanas, nekā paredzēts attiecīgajos ES tiesību aktos</w:t>
            </w:r>
          </w:p>
        </w:tc>
      </w:tr>
      <w:tr w:rsidR="00C73441" w:rsidRPr="008740B7" w:rsidTr="00C3627B">
        <w:trPr>
          <w:trHeight w:val="191"/>
          <w:jc w:val="center"/>
        </w:trPr>
        <w:tc>
          <w:tcPr>
            <w:tcW w:w="1350" w:type="pct"/>
            <w:gridSpan w:val="2"/>
          </w:tcPr>
          <w:p w:rsidR="00C73441" w:rsidRPr="008740B7" w:rsidRDefault="00C73441" w:rsidP="001B2729">
            <w:pPr>
              <w:jc w:val="both"/>
              <w:rPr>
                <w:sz w:val="25"/>
                <w:szCs w:val="25"/>
                <w:lang w:val="lv-LV"/>
              </w:rPr>
            </w:pPr>
            <w:r w:rsidRPr="008740B7">
              <w:rPr>
                <w:sz w:val="25"/>
                <w:szCs w:val="25"/>
                <w:lang w:val="lv-LV"/>
              </w:rPr>
              <w:t>Komisijas Regulas Nr.800/2008 3.pant</w:t>
            </w:r>
            <w:r w:rsidR="00C3627B" w:rsidRPr="008740B7">
              <w:rPr>
                <w:sz w:val="25"/>
                <w:szCs w:val="25"/>
                <w:lang w:val="lv-LV"/>
              </w:rPr>
              <w:t>a 1.punkts</w:t>
            </w:r>
          </w:p>
        </w:tc>
        <w:tc>
          <w:tcPr>
            <w:tcW w:w="1153" w:type="pct"/>
          </w:tcPr>
          <w:p w:rsidR="00C73441" w:rsidRPr="008740B7" w:rsidRDefault="00C73441" w:rsidP="00C73441">
            <w:pPr>
              <w:rPr>
                <w:sz w:val="25"/>
                <w:szCs w:val="25"/>
                <w:lang w:val="lv-LV"/>
              </w:rPr>
            </w:pPr>
            <w:r w:rsidRPr="008740B7">
              <w:rPr>
                <w:sz w:val="25"/>
                <w:szCs w:val="25"/>
                <w:lang w:val="lv-LV"/>
              </w:rPr>
              <w:t xml:space="preserve">Noteikumu projekta 2.punkts </w:t>
            </w:r>
          </w:p>
        </w:tc>
        <w:tc>
          <w:tcPr>
            <w:tcW w:w="1261" w:type="pct"/>
          </w:tcPr>
          <w:p w:rsidR="00C73441" w:rsidRPr="008740B7" w:rsidRDefault="003F67B9" w:rsidP="001B2729">
            <w:pPr>
              <w:pStyle w:val="naiskr"/>
              <w:spacing w:before="0" w:after="0"/>
              <w:rPr>
                <w:sz w:val="25"/>
                <w:szCs w:val="25"/>
              </w:rPr>
            </w:pPr>
            <w:r w:rsidRPr="008740B7">
              <w:rPr>
                <w:sz w:val="25"/>
                <w:szCs w:val="25"/>
              </w:rPr>
              <w:t>Ieviesta pilnībā.</w:t>
            </w:r>
          </w:p>
        </w:tc>
        <w:tc>
          <w:tcPr>
            <w:tcW w:w="1235" w:type="pct"/>
          </w:tcPr>
          <w:p w:rsidR="00C73441" w:rsidRPr="008740B7" w:rsidRDefault="00F766B8" w:rsidP="001B2729">
            <w:pPr>
              <w:pStyle w:val="naiskr"/>
              <w:spacing w:before="0" w:after="0"/>
              <w:jc w:val="both"/>
              <w:rPr>
                <w:sz w:val="25"/>
                <w:szCs w:val="25"/>
              </w:rPr>
            </w:pPr>
            <w:r w:rsidRPr="008740B7">
              <w:rPr>
                <w:sz w:val="25"/>
                <w:szCs w:val="25"/>
              </w:rPr>
              <w:t>neparedz stingrākas prasības</w:t>
            </w:r>
          </w:p>
        </w:tc>
      </w:tr>
      <w:tr w:rsidR="00C73441" w:rsidRPr="008740B7" w:rsidTr="00C3627B">
        <w:trPr>
          <w:trHeight w:val="191"/>
          <w:jc w:val="center"/>
        </w:trPr>
        <w:tc>
          <w:tcPr>
            <w:tcW w:w="1350" w:type="pct"/>
            <w:gridSpan w:val="2"/>
          </w:tcPr>
          <w:p w:rsidR="00C73441" w:rsidRPr="008740B7" w:rsidRDefault="00C73441" w:rsidP="001B2729">
            <w:pPr>
              <w:jc w:val="both"/>
              <w:rPr>
                <w:rFonts w:eastAsia="EUAlbertina-Bold-Identity-H"/>
                <w:bCs/>
                <w:sz w:val="25"/>
                <w:szCs w:val="25"/>
                <w:lang w:val="lv-LV"/>
              </w:rPr>
            </w:pPr>
            <w:r w:rsidRPr="008740B7">
              <w:rPr>
                <w:sz w:val="25"/>
                <w:szCs w:val="25"/>
                <w:lang w:val="lv-LV"/>
              </w:rPr>
              <w:t>Padomes Regulas Nr.1083/2006 93.panta 1. un 2. punkts</w:t>
            </w:r>
            <w:r w:rsidRPr="008740B7">
              <w:rPr>
                <w:rFonts w:eastAsia="EUAlbertina-Bold-Identity-H"/>
                <w:bCs/>
                <w:sz w:val="25"/>
                <w:szCs w:val="25"/>
                <w:lang w:val="lv-LV"/>
              </w:rPr>
              <w:t xml:space="preserve">. </w:t>
            </w:r>
          </w:p>
        </w:tc>
        <w:tc>
          <w:tcPr>
            <w:tcW w:w="1153" w:type="pct"/>
          </w:tcPr>
          <w:p w:rsidR="00C73441" w:rsidRPr="008740B7" w:rsidRDefault="00C73441" w:rsidP="00DF0077">
            <w:pPr>
              <w:pStyle w:val="naiskr"/>
              <w:spacing w:before="0" w:after="0"/>
              <w:rPr>
                <w:sz w:val="25"/>
                <w:szCs w:val="25"/>
              </w:rPr>
            </w:pPr>
            <w:r w:rsidRPr="008740B7">
              <w:rPr>
                <w:sz w:val="25"/>
                <w:szCs w:val="25"/>
              </w:rPr>
              <w:t xml:space="preserve">Noteikumu projekta </w:t>
            </w:r>
            <w:r w:rsidR="004C310A" w:rsidRPr="008740B7">
              <w:rPr>
                <w:sz w:val="25"/>
                <w:szCs w:val="25"/>
              </w:rPr>
              <w:t>8.1. un 8</w:t>
            </w:r>
            <w:r w:rsidR="00716045" w:rsidRPr="008740B7">
              <w:rPr>
                <w:sz w:val="25"/>
                <w:szCs w:val="25"/>
              </w:rPr>
              <w:t>.</w:t>
            </w:r>
            <w:r w:rsidR="004C310A" w:rsidRPr="008740B7">
              <w:rPr>
                <w:sz w:val="25"/>
                <w:szCs w:val="25"/>
              </w:rPr>
              <w:t>.</w:t>
            </w:r>
            <w:r w:rsidR="00DF0077" w:rsidRPr="008740B7">
              <w:rPr>
                <w:sz w:val="25"/>
                <w:szCs w:val="25"/>
              </w:rPr>
              <w:t>9</w:t>
            </w:r>
            <w:r w:rsidR="004C310A" w:rsidRPr="008740B7">
              <w:rPr>
                <w:sz w:val="25"/>
                <w:szCs w:val="25"/>
              </w:rPr>
              <w:t>.apakšpunkts.</w:t>
            </w:r>
          </w:p>
        </w:tc>
        <w:tc>
          <w:tcPr>
            <w:tcW w:w="1261" w:type="pct"/>
          </w:tcPr>
          <w:p w:rsidR="00C73441" w:rsidRPr="008740B7" w:rsidRDefault="004C310A" w:rsidP="001B2729">
            <w:pPr>
              <w:pStyle w:val="naiskr"/>
              <w:spacing w:before="0" w:after="0"/>
              <w:rPr>
                <w:sz w:val="25"/>
                <w:szCs w:val="25"/>
              </w:rPr>
            </w:pPr>
            <w:r w:rsidRPr="008740B7">
              <w:rPr>
                <w:sz w:val="25"/>
                <w:szCs w:val="25"/>
              </w:rPr>
              <w:t>Ieviesta pilnībā.</w:t>
            </w:r>
          </w:p>
        </w:tc>
        <w:tc>
          <w:tcPr>
            <w:tcW w:w="1235" w:type="pct"/>
          </w:tcPr>
          <w:p w:rsidR="00C73441" w:rsidRPr="008740B7" w:rsidRDefault="004C310A" w:rsidP="001B2729">
            <w:pPr>
              <w:pStyle w:val="naiskr"/>
              <w:spacing w:before="0" w:after="0"/>
              <w:jc w:val="both"/>
              <w:rPr>
                <w:sz w:val="25"/>
                <w:szCs w:val="25"/>
              </w:rPr>
            </w:pPr>
            <w:r w:rsidRPr="008740B7">
              <w:rPr>
                <w:sz w:val="25"/>
                <w:szCs w:val="25"/>
              </w:rPr>
              <w:t>Neparedz stingrākas prasības.</w:t>
            </w:r>
          </w:p>
        </w:tc>
      </w:tr>
      <w:tr w:rsidR="001068DB" w:rsidRPr="008740B7" w:rsidTr="00C3627B">
        <w:trPr>
          <w:trHeight w:val="191"/>
          <w:jc w:val="center"/>
        </w:trPr>
        <w:tc>
          <w:tcPr>
            <w:tcW w:w="1350" w:type="pct"/>
            <w:gridSpan w:val="2"/>
          </w:tcPr>
          <w:p w:rsidR="001068DB" w:rsidRPr="008740B7" w:rsidRDefault="001068DB" w:rsidP="001B2729">
            <w:pPr>
              <w:jc w:val="both"/>
              <w:rPr>
                <w:sz w:val="25"/>
                <w:szCs w:val="25"/>
                <w:lang w:val="lv-LV"/>
              </w:rPr>
            </w:pPr>
            <w:r w:rsidRPr="008740B7">
              <w:rPr>
                <w:sz w:val="25"/>
                <w:szCs w:val="25"/>
                <w:lang w:val="lv-LV"/>
              </w:rPr>
              <w:t>Komisijas Regulas Nr.800/2008 39.panta 2.punkts</w:t>
            </w:r>
          </w:p>
        </w:tc>
        <w:tc>
          <w:tcPr>
            <w:tcW w:w="1153" w:type="pct"/>
          </w:tcPr>
          <w:p w:rsidR="001068DB" w:rsidRPr="008740B7" w:rsidRDefault="001068DB" w:rsidP="00DF0077">
            <w:pPr>
              <w:rPr>
                <w:sz w:val="25"/>
                <w:szCs w:val="25"/>
                <w:lang w:val="lv-LV"/>
              </w:rPr>
            </w:pPr>
            <w:r w:rsidRPr="008740B7">
              <w:rPr>
                <w:sz w:val="25"/>
                <w:szCs w:val="25"/>
                <w:lang w:val="lv-LV"/>
              </w:rPr>
              <w:t>Noteikumu projekta 1</w:t>
            </w:r>
            <w:r w:rsidR="00DF0077" w:rsidRPr="008740B7">
              <w:rPr>
                <w:sz w:val="25"/>
                <w:szCs w:val="25"/>
                <w:lang w:val="lv-LV"/>
              </w:rPr>
              <w:t>1</w:t>
            </w:r>
            <w:r w:rsidRPr="008740B7">
              <w:rPr>
                <w:sz w:val="25"/>
                <w:szCs w:val="25"/>
                <w:lang w:val="lv-LV"/>
              </w:rPr>
              <w:t>. punkts</w:t>
            </w:r>
          </w:p>
        </w:tc>
        <w:tc>
          <w:tcPr>
            <w:tcW w:w="1261" w:type="pct"/>
          </w:tcPr>
          <w:p w:rsidR="001068DB" w:rsidRPr="008740B7" w:rsidRDefault="001068DB" w:rsidP="001B2729">
            <w:pPr>
              <w:pStyle w:val="naiskr"/>
              <w:spacing w:before="0" w:after="0"/>
              <w:rPr>
                <w:sz w:val="25"/>
                <w:szCs w:val="25"/>
              </w:rPr>
            </w:pPr>
            <w:r w:rsidRPr="008740B7">
              <w:rPr>
                <w:sz w:val="25"/>
                <w:szCs w:val="25"/>
              </w:rPr>
              <w:t>Ieviesta pilnībā.</w:t>
            </w:r>
          </w:p>
        </w:tc>
        <w:tc>
          <w:tcPr>
            <w:tcW w:w="1235" w:type="pct"/>
          </w:tcPr>
          <w:p w:rsidR="001068DB" w:rsidRPr="008740B7" w:rsidRDefault="001068DB" w:rsidP="001B2729">
            <w:pPr>
              <w:pStyle w:val="naiskr"/>
              <w:spacing w:before="0" w:after="0"/>
              <w:jc w:val="both"/>
              <w:rPr>
                <w:sz w:val="25"/>
                <w:szCs w:val="25"/>
              </w:rPr>
            </w:pPr>
            <w:r w:rsidRPr="008740B7">
              <w:rPr>
                <w:sz w:val="25"/>
                <w:szCs w:val="25"/>
              </w:rPr>
              <w:t>neparedz stingrākas prasības</w:t>
            </w:r>
          </w:p>
        </w:tc>
      </w:tr>
      <w:tr w:rsidR="001068DB" w:rsidRPr="008740B7" w:rsidTr="00C3627B">
        <w:trPr>
          <w:trHeight w:val="191"/>
          <w:jc w:val="center"/>
        </w:trPr>
        <w:tc>
          <w:tcPr>
            <w:tcW w:w="1350" w:type="pct"/>
            <w:gridSpan w:val="2"/>
          </w:tcPr>
          <w:p w:rsidR="001068DB" w:rsidRPr="008740B7" w:rsidRDefault="001068DB" w:rsidP="001B2729">
            <w:pPr>
              <w:jc w:val="both"/>
              <w:rPr>
                <w:sz w:val="25"/>
                <w:szCs w:val="25"/>
                <w:lang w:val="lv-LV"/>
              </w:rPr>
            </w:pPr>
            <w:r w:rsidRPr="008740B7">
              <w:rPr>
                <w:sz w:val="25"/>
                <w:szCs w:val="25"/>
                <w:lang w:val="lv-LV"/>
              </w:rPr>
              <w:t>Komisijas Regulas Nr.800/2008 1.pielikums</w:t>
            </w:r>
            <w:r w:rsidR="00C3627B" w:rsidRPr="008740B7">
              <w:rPr>
                <w:sz w:val="25"/>
                <w:szCs w:val="25"/>
                <w:lang w:val="lv-LV"/>
              </w:rPr>
              <w:t xml:space="preserve"> 2.panta 2.un 3.punkts</w:t>
            </w:r>
            <w:r w:rsidRPr="008740B7">
              <w:rPr>
                <w:sz w:val="25"/>
                <w:szCs w:val="25"/>
                <w:lang w:val="lv-LV"/>
              </w:rPr>
              <w:t>;</w:t>
            </w:r>
          </w:p>
        </w:tc>
        <w:tc>
          <w:tcPr>
            <w:tcW w:w="1153" w:type="pct"/>
          </w:tcPr>
          <w:p w:rsidR="001068DB" w:rsidRPr="008740B7" w:rsidRDefault="001068DB" w:rsidP="00DF0077">
            <w:pPr>
              <w:pStyle w:val="naiskr"/>
              <w:spacing w:before="0" w:after="0"/>
              <w:jc w:val="both"/>
              <w:rPr>
                <w:sz w:val="25"/>
                <w:szCs w:val="25"/>
              </w:rPr>
            </w:pPr>
            <w:r w:rsidRPr="008740B7">
              <w:rPr>
                <w:sz w:val="25"/>
                <w:szCs w:val="25"/>
              </w:rPr>
              <w:t xml:space="preserve">Noteikumu projekta </w:t>
            </w:r>
            <w:r w:rsidR="00B80ACC" w:rsidRPr="008740B7">
              <w:rPr>
                <w:sz w:val="25"/>
                <w:szCs w:val="25"/>
              </w:rPr>
              <w:t>1</w:t>
            </w:r>
            <w:r w:rsidR="00DF0077" w:rsidRPr="008740B7">
              <w:rPr>
                <w:sz w:val="25"/>
                <w:szCs w:val="25"/>
              </w:rPr>
              <w:t>4</w:t>
            </w:r>
            <w:r w:rsidRPr="008740B7">
              <w:rPr>
                <w:sz w:val="25"/>
                <w:szCs w:val="25"/>
              </w:rPr>
              <w:t>.3.apakšpunkts.</w:t>
            </w:r>
          </w:p>
        </w:tc>
        <w:tc>
          <w:tcPr>
            <w:tcW w:w="1261" w:type="pct"/>
          </w:tcPr>
          <w:p w:rsidR="001068DB" w:rsidRPr="008740B7" w:rsidRDefault="001068DB" w:rsidP="001B2729">
            <w:pPr>
              <w:pStyle w:val="naiskr"/>
              <w:spacing w:before="0" w:after="0"/>
              <w:jc w:val="both"/>
              <w:rPr>
                <w:sz w:val="25"/>
                <w:szCs w:val="25"/>
              </w:rPr>
            </w:pPr>
            <w:r w:rsidRPr="008740B7">
              <w:rPr>
                <w:sz w:val="25"/>
                <w:szCs w:val="25"/>
              </w:rPr>
              <w:t>Ieviesta pilnībā.</w:t>
            </w:r>
          </w:p>
          <w:p w:rsidR="001068DB" w:rsidRPr="008740B7" w:rsidRDefault="001068DB" w:rsidP="001B2729">
            <w:pPr>
              <w:pStyle w:val="naiskr"/>
              <w:spacing w:before="0" w:after="0"/>
              <w:jc w:val="both"/>
              <w:rPr>
                <w:sz w:val="25"/>
                <w:szCs w:val="25"/>
              </w:rPr>
            </w:pPr>
            <w:r w:rsidRPr="008740B7">
              <w:rPr>
                <w:sz w:val="25"/>
                <w:szCs w:val="25"/>
              </w:rPr>
              <w:t>Atbalstam kvalificējas tikai mikro un mazie komersanti.</w:t>
            </w:r>
          </w:p>
        </w:tc>
        <w:tc>
          <w:tcPr>
            <w:tcW w:w="1235" w:type="pct"/>
          </w:tcPr>
          <w:p w:rsidR="001068DB" w:rsidRPr="008740B7" w:rsidRDefault="001068DB" w:rsidP="001B2729">
            <w:pPr>
              <w:pStyle w:val="naiskr"/>
              <w:spacing w:before="0" w:after="0"/>
              <w:jc w:val="both"/>
              <w:rPr>
                <w:sz w:val="25"/>
                <w:szCs w:val="25"/>
              </w:rPr>
            </w:pPr>
            <w:r w:rsidRPr="008740B7">
              <w:rPr>
                <w:sz w:val="25"/>
                <w:szCs w:val="25"/>
              </w:rPr>
              <w:t>Neparedz stingrākas prasības.</w:t>
            </w:r>
          </w:p>
        </w:tc>
      </w:tr>
      <w:tr w:rsidR="001068DB" w:rsidRPr="008740B7" w:rsidTr="00C3627B">
        <w:trPr>
          <w:trHeight w:val="191"/>
          <w:jc w:val="center"/>
        </w:trPr>
        <w:tc>
          <w:tcPr>
            <w:tcW w:w="1350" w:type="pct"/>
            <w:gridSpan w:val="2"/>
          </w:tcPr>
          <w:p w:rsidR="001068DB" w:rsidRPr="008740B7" w:rsidRDefault="001068DB" w:rsidP="00C3627B">
            <w:pPr>
              <w:pStyle w:val="naiskr"/>
              <w:spacing w:before="0" w:after="0"/>
              <w:jc w:val="both"/>
              <w:rPr>
                <w:sz w:val="25"/>
                <w:szCs w:val="25"/>
              </w:rPr>
            </w:pPr>
            <w:r w:rsidRPr="008740B7">
              <w:rPr>
                <w:sz w:val="25"/>
                <w:szCs w:val="25"/>
              </w:rPr>
              <w:t>Komisijas Regulas Nr.800/2008 1.panta 7.punkt</w:t>
            </w:r>
            <w:r w:rsidR="00C3627B" w:rsidRPr="008740B7">
              <w:rPr>
                <w:sz w:val="25"/>
                <w:szCs w:val="25"/>
              </w:rPr>
              <w:t>s</w:t>
            </w:r>
            <w:r w:rsidRPr="008740B7">
              <w:rPr>
                <w:sz w:val="25"/>
                <w:szCs w:val="25"/>
              </w:rPr>
              <w:t xml:space="preserve"> </w:t>
            </w:r>
          </w:p>
        </w:tc>
        <w:tc>
          <w:tcPr>
            <w:tcW w:w="1153" w:type="pct"/>
          </w:tcPr>
          <w:p w:rsidR="001068DB" w:rsidRPr="008740B7" w:rsidRDefault="009F7943" w:rsidP="00DF0077">
            <w:pPr>
              <w:pStyle w:val="naiskr"/>
              <w:spacing w:before="0" w:after="0"/>
              <w:rPr>
                <w:sz w:val="25"/>
                <w:szCs w:val="25"/>
              </w:rPr>
            </w:pPr>
            <w:r w:rsidRPr="008740B7">
              <w:rPr>
                <w:sz w:val="25"/>
                <w:szCs w:val="25"/>
              </w:rPr>
              <w:t>N</w:t>
            </w:r>
            <w:r w:rsidR="001068DB" w:rsidRPr="008740B7">
              <w:rPr>
                <w:sz w:val="25"/>
                <w:szCs w:val="25"/>
              </w:rPr>
              <w:t xml:space="preserve">oteikumu projekta </w:t>
            </w:r>
            <w:r w:rsidR="00DF0077" w:rsidRPr="008740B7">
              <w:rPr>
                <w:sz w:val="25"/>
                <w:szCs w:val="25"/>
              </w:rPr>
              <w:t>14</w:t>
            </w:r>
            <w:r w:rsidR="001068DB" w:rsidRPr="008740B7">
              <w:rPr>
                <w:sz w:val="25"/>
                <w:szCs w:val="25"/>
              </w:rPr>
              <w:t xml:space="preserve">.5 apakšpunkts </w:t>
            </w:r>
          </w:p>
        </w:tc>
        <w:tc>
          <w:tcPr>
            <w:tcW w:w="1261" w:type="pct"/>
          </w:tcPr>
          <w:p w:rsidR="001068DB" w:rsidRPr="008740B7" w:rsidRDefault="001068DB" w:rsidP="001B2729">
            <w:pPr>
              <w:pStyle w:val="naiskr"/>
              <w:spacing w:before="0" w:after="0"/>
              <w:rPr>
                <w:sz w:val="25"/>
                <w:szCs w:val="25"/>
              </w:rPr>
            </w:pPr>
            <w:r w:rsidRPr="008740B7">
              <w:rPr>
                <w:sz w:val="25"/>
                <w:szCs w:val="25"/>
              </w:rPr>
              <w:t>Ieviesta pilnībā.</w:t>
            </w:r>
          </w:p>
        </w:tc>
        <w:tc>
          <w:tcPr>
            <w:tcW w:w="1235" w:type="pct"/>
          </w:tcPr>
          <w:p w:rsidR="001068DB" w:rsidRPr="008740B7" w:rsidRDefault="001068DB" w:rsidP="001B2729">
            <w:pPr>
              <w:pStyle w:val="naiskr"/>
              <w:spacing w:before="0" w:after="0"/>
              <w:jc w:val="both"/>
              <w:rPr>
                <w:sz w:val="25"/>
                <w:szCs w:val="25"/>
              </w:rPr>
            </w:pPr>
            <w:r w:rsidRPr="008740B7">
              <w:rPr>
                <w:sz w:val="25"/>
                <w:szCs w:val="25"/>
              </w:rPr>
              <w:t>Neparedz stingrākas prasības.</w:t>
            </w:r>
          </w:p>
        </w:tc>
      </w:tr>
      <w:tr w:rsidR="009F7943" w:rsidRPr="008740B7" w:rsidTr="00C3627B">
        <w:trPr>
          <w:trHeight w:val="191"/>
          <w:jc w:val="center"/>
        </w:trPr>
        <w:tc>
          <w:tcPr>
            <w:tcW w:w="1350" w:type="pct"/>
            <w:gridSpan w:val="2"/>
          </w:tcPr>
          <w:p w:rsidR="009F7943" w:rsidRPr="008740B7" w:rsidRDefault="009F7943" w:rsidP="009F7943">
            <w:pPr>
              <w:pStyle w:val="naiskr"/>
              <w:spacing w:before="0" w:after="0"/>
              <w:jc w:val="both"/>
              <w:rPr>
                <w:sz w:val="25"/>
                <w:szCs w:val="25"/>
              </w:rPr>
            </w:pPr>
            <w:r w:rsidRPr="008740B7">
              <w:rPr>
                <w:sz w:val="25"/>
                <w:szCs w:val="25"/>
              </w:rPr>
              <w:t xml:space="preserve">Komisijas regulas Nr. 800/2008 1.panta </w:t>
            </w:r>
            <w:r w:rsidRPr="008740B7">
              <w:rPr>
                <w:sz w:val="25"/>
                <w:szCs w:val="25"/>
              </w:rPr>
              <w:lastRenderedPageBreak/>
              <w:t>6.punka „a” apakšpunkts</w:t>
            </w:r>
          </w:p>
        </w:tc>
        <w:tc>
          <w:tcPr>
            <w:tcW w:w="1153" w:type="pct"/>
          </w:tcPr>
          <w:p w:rsidR="009F7943" w:rsidRPr="008740B7" w:rsidRDefault="009F7943" w:rsidP="00DF0077">
            <w:pPr>
              <w:pStyle w:val="naiskr"/>
              <w:spacing w:before="0" w:after="0"/>
              <w:rPr>
                <w:sz w:val="25"/>
                <w:szCs w:val="25"/>
              </w:rPr>
            </w:pPr>
            <w:r w:rsidRPr="008740B7">
              <w:rPr>
                <w:sz w:val="25"/>
                <w:szCs w:val="25"/>
              </w:rPr>
              <w:lastRenderedPageBreak/>
              <w:t xml:space="preserve">Noteikumu projekta 13.8.un </w:t>
            </w:r>
            <w:r w:rsidRPr="008740B7">
              <w:rPr>
                <w:sz w:val="25"/>
                <w:szCs w:val="25"/>
              </w:rPr>
              <w:lastRenderedPageBreak/>
              <w:t>14.10.apakšpunkti</w:t>
            </w:r>
          </w:p>
        </w:tc>
        <w:tc>
          <w:tcPr>
            <w:tcW w:w="1261" w:type="pct"/>
          </w:tcPr>
          <w:p w:rsidR="009F7943" w:rsidRPr="008740B7" w:rsidRDefault="009F7943" w:rsidP="001B2729">
            <w:pPr>
              <w:pStyle w:val="naiskr"/>
              <w:spacing w:before="0" w:after="0"/>
              <w:rPr>
                <w:sz w:val="25"/>
                <w:szCs w:val="25"/>
              </w:rPr>
            </w:pPr>
            <w:r w:rsidRPr="008740B7">
              <w:rPr>
                <w:sz w:val="25"/>
                <w:szCs w:val="25"/>
              </w:rPr>
              <w:lastRenderedPageBreak/>
              <w:t>Ieviesta pilnībā.</w:t>
            </w:r>
          </w:p>
        </w:tc>
        <w:tc>
          <w:tcPr>
            <w:tcW w:w="1235" w:type="pct"/>
          </w:tcPr>
          <w:p w:rsidR="009F7943" w:rsidRPr="008740B7" w:rsidRDefault="009F7943" w:rsidP="001B2729">
            <w:pPr>
              <w:pStyle w:val="naiskr"/>
              <w:spacing w:before="0" w:after="0"/>
              <w:jc w:val="both"/>
              <w:rPr>
                <w:sz w:val="25"/>
                <w:szCs w:val="25"/>
              </w:rPr>
            </w:pPr>
            <w:r w:rsidRPr="008740B7">
              <w:rPr>
                <w:sz w:val="25"/>
                <w:szCs w:val="25"/>
              </w:rPr>
              <w:t>neparedz stingrākas prasības</w:t>
            </w:r>
          </w:p>
        </w:tc>
      </w:tr>
      <w:tr w:rsidR="00CA48CD" w:rsidRPr="008740B7" w:rsidTr="00C3627B">
        <w:trPr>
          <w:trHeight w:val="191"/>
          <w:jc w:val="center"/>
        </w:trPr>
        <w:tc>
          <w:tcPr>
            <w:tcW w:w="1350" w:type="pct"/>
            <w:gridSpan w:val="2"/>
          </w:tcPr>
          <w:p w:rsidR="00CA48CD" w:rsidRPr="008740B7" w:rsidRDefault="001658E5" w:rsidP="00C73441">
            <w:pPr>
              <w:pStyle w:val="naiskr"/>
              <w:spacing w:before="0" w:after="0"/>
              <w:jc w:val="both"/>
              <w:rPr>
                <w:sz w:val="25"/>
                <w:szCs w:val="25"/>
              </w:rPr>
            </w:pPr>
            <w:r w:rsidRPr="008740B7">
              <w:rPr>
                <w:sz w:val="25"/>
                <w:szCs w:val="25"/>
              </w:rPr>
              <w:lastRenderedPageBreak/>
              <w:t>Komisijas Regulas Nr.800/2008 39.panta 4.punkts</w:t>
            </w:r>
          </w:p>
        </w:tc>
        <w:tc>
          <w:tcPr>
            <w:tcW w:w="1153" w:type="pct"/>
          </w:tcPr>
          <w:p w:rsidR="00CA48CD" w:rsidRPr="008740B7" w:rsidRDefault="00CA48CD" w:rsidP="00DF0077">
            <w:pPr>
              <w:pStyle w:val="naiskr"/>
              <w:spacing w:before="0" w:after="0"/>
              <w:rPr>
                <w:sz w:val="25"/>
                <w:szCs w:val="25"/>
              </w:rPr>
            </w:pPr>
            <w:r w:rsidRPr="008740B7">
              <w:rPr>
                <w:sz w:val="25"/>
                <w:szCs w:val="25"/>
              </w:rPr>
              <w:t xml:space="preserve">Noteikumu projekta </w:t>
            </w:r>
            <w:r w:rsidR="00B80ACC" w:rsidRPr="008740B7">
              <w:rPr>
                <w:sz w:val="25"/>
                <w:szCs w:val="25"/>
              </w:rPr>
              <w:t>2</w:t>
            </w:r>
            <w:r w:rsidR="00DF0077" w:rsidRPr="008740B7">
              <w:rPr>
                <w:sz w:val="25"/>
                <w:szCs w:val="25"/>
              </w:rPr>
              <w:t>5</w:t>
            </w:r>
            <w:r w:rsidRPr="008740B7">
              <w:rPr>
                <w:sz w:val="25"/>
                <w:szCs w:val="25"/>
              </w:rPr>
              <w:t>.punkts.</w:t>
            </w:r>
          </w:p>
        </w:tc>
        <w:tc>
          <w:tcPr>
            <w:tcW w:w="1261" w:type="pct"/>
          </w:tcPr>
          <w:p w:rsidR="00CA48CD" w:rsidRPr="008740B7" w:rsidRDefault="00CA48CD" w:rsidP="001B2729">
            <w:pPr>
              <w:pStyle w:val="naiskr"/>
              <w:spacing w:before="0" w:after="0"/>
              <w:rPr>
                <w:sz w:val="25"/>
                <w:szCs w:val="25"/>
              </w:rPr>
            </w:pPr>
            <w:r w:rsidRPr="008740B7">
              <w:rPr>
                <w:sz w:val="25"/>
                <w:szCs w:val="25"/>
              </w:rPr>
              <w:t>Ieviesta pilnībā.</w:t>
            </w:r>
          </w:p>
        </w:tc>
        <w:tc>
          <w:tcPr>
            <w:tcW w:w="1235" w:type="pct"/>
          </w:tcPr>
          <w:p w:rsidR="00CA48CD" w:rsidRPr="008740B7" w:rsidRDefault="001658E5" w:rsidP="001B2729">
            <w:pPr>
              <w:pStyle w:val="naiskr"/>
              <w:spacing w:before="0" w:after="0"/>
              <w:jc w:val="both"/>
              <w:rPr>
                <w:sz w:val="25"/>
                <w:szCs w:val="25"/>
              </w:rPr>
            </w:pPr>
            <w:r w:rsidRPr="008740B7">
              <w:rPr>
                <w:sz w:val="25"/>
                <w:szCs w:val="25"/>
              </w:rPr>
              <w:t>neparedz stingrākas prasības</w:t>
            </w:r>
          </w:p>
        </w:tc>
      </w:tr>
      <w:tr w:rsidR="00CA48CD" w:rsidRPr="008740B7" w:rsidTr="00C3627B">
        <w:trPr>
          <w:trHeight w:val="191"/>
          <w:jc w:val="center"/>
        </w:trPr>
        <w:tc>
          <w:tcPr>
            <w:tcW w:w="1350" w:type="pct"/>
            <w:gridSpan w:val="2"/>
          </w:tcPr>
          <w:p w:rsidR="00CA48CD" w:rsidRPr="008740B7" w:rsidRDefault="001658E5" w:rsidP="00C73441">
            <w:pPr>
              <w:pStyle w:val="naiskr"/>
              <w:spacing w:before="0" w:after="0"/>
              <w:jc w:val="both"/>
              <w:rPr>
                <w:sz w:val="25"/>
                <w:szCs w:val="25"/>
              </w:rPr>
            </w:pPr>
            <w:r w:rsidRPr="008740B7">
              <w:rPr>
                <w:sz w:val="25"/>
                <w:szCs w:val="25"/>
              </w:rPr>
              <w:t>Komisijas Regulas Nr.800/2008 38.pants</w:t>
            </w:r>
          </w:p>
        </w:tc>
        <w:tc>
          <w:tcPr>
            <w:tcW w:w="1153" w:type="pct"/>
          </w:tcPr>
          <w:p w:rsidR="00CA48CD" w:rsidRPr="008740B7" w:rsidRDefault="001658E5" w:rsidP="00AF7EAF">
            <w:pPr>
              <w:rPr>
                <w:sz w:val="25"/>
                <w:szCs w:val="25"/>
                <w:lang w:val="lv-LV"/>
              </w:rPr>
            </w:pPr>
            <w:r w:rsidRPr="008740B7">
              <w:rPr>
                <w:sz w:val="25"/>
                <w:szCs w:val="25"/>
                <w:lang w:val="lv-LV"/>
              </w:rPr>
              <w:t>Noteikumu projekta 2</w:t>
            </w:r>
            <w:r w:rsidR="00DF0077" w:rsidRPr="008740B7">
              <w:rPr>
                <w:sz w:val="25"/>
                <w:szCs w:val="25"/>
                <w:lang w:val="lv-LV"/>
              </w:rPr>
              <w:t>3</w:t>
            </w:r>
            <w:r w:rsidRPr="008740B7">
              <w:rPr>
                <w:sz w:val="25"/>
                <w:szCs w:val="25"/>
                <w:lang w:val="lv-LV"/>
              </w:rPr>
              <w:t>.punkts.</w:t>
            </w:r>
          </w:p>
          <w:p w:rsidR="00CA48CD" w:rsidRPr="008740B7" w:rsidRDefault="00CA48CD" w:rsidP="00C73441">
            <w:pPr>
              <w:pStyle w:val="naiskr"/>
              <w:spacing w:before="0" w:after="0"/>
              <w:rPr>
                <w:sz w:val="25"/>
                <w:szCs w:val="25"/>
              </w:rPr>
            </w:pPr>
          </w:p>
        </w:tc>
        <w:tc>
          <w:tcPr>
            <w:tcW w:w="1261" w:type="pct"/>
          </w:tcPr>
          <w:p w:rsidR="00CA48CD" w:rsidRPr="008740B7" w:rsidRDefault="00F766B8" w:rsidP="001B2729">
            <w:pPr>
              <w:pStyle w:val="naiskr"/>
              <w:spacing w:before="0" w:after="0"/>
              <w:rPr>
                <w:sz w:val="25"/>
                <w:szCs w:val="25"/>
              </w:rPr>
            </w:pPr>
            <w:r w:rsidRPr="008740B7">
              <w:rPr>
                <w:sz w:val="25"/>
                <w:szCs w:val="25"/>
              </w:rPr>
              <w:t>Ieviesta pilnībā.</w:t>
            </w:r>
          </w:p>
        </w:tc>
        <w:tc>
          <w:tcPr>
            <w:tcW w:w="1235" w:type="pct"/>
          </w:tcPr>
          <w:p w:rsidR="00CA48CD" w:rsidRPr="008740B7" w:rsidRDefault="00F766B8" w:rsidP="001B2729">
            <w:pPr>
              <w:pStyle w:val="naiskr"/>
              <w:spacing w:before="0" w:after="0"/>
              <w:jc w:val="both"/>
              <w:rPr>
                <w:sz w:val="25"/>
                <w:szCs w:val="25"/>
              </w:rPr>
            </w:pPr>
            <w:r w:rsidRPr="008740B7">
              <w:rPr>
                <w:sz w:val="25"/>
                <w:szCs w:val="25"/>
              </w:rPr>
              <w:t>neparedz stingrākas prasības</w:t>
            </w:r>
          </w:p>
        </w:tc>
      </w:tr>
      <w:tr w:rsidR="00C3627B" w:rsidRPr="008740B7" w:rsidTr="00C3627B">
        <w:trPr>
          <w:trHeight w:val="191"/>
          <w:jc w:val="center"/>
        </w:trPr>
        <w:tc>
          <w:tcPr>
            <w:tcW w:w="1350" w:type="pct"/>
            <w:gridSpan w:val="2"/>
          </w:tcPr>
          <w:p w:rsidR="00C3627B" w:rsidRPr="008740B7" w:rsidRDefault="00C3627B" w:rsidP="00C3627B">
            <w:pPr>
              <w:pStyle w:val="naiskr"/>
              <w:spacing w:before="0" w:after="0"/>
              <w:jc w:val="both"/>
              <w:rPr>
                <w:sz w:val="25"/>
                <w:szCs w:val="25"/>
              </w:rPr>
            </w:pPr>
            <w:r w:rsidRPr="008740B7">
              <w:rPr>
                <w:sz w:val="25"/>
                <w:szCs w:val="25"/>
              </w:rPr>
              <w:t>Komisijas Regulas Nr.800/2008 8.panta 2.punkts</w:t>
            </w:r>
          </w:p>
        </w:tc>
        <w:tc>
          <w:tcPr>
            <w:tcW w:w="1153" w:type="pct"/>
          </w:tcPr>
          <w:p w:rsidR="00C3627B" w:rsidRPr="008740B7" w:rsidRDefault="00C3627B" w:rsidP="00963AD5">
            <w:pPr>
              <w:rPr>
                <w:sz w:val="25"/>
                <w:szCs w:val="25"/>
                <w:lang w:val="lv-LV"/>
              </w:rPr>
            </w:pPr>
            <w:r w:rsidRPr="008740B7">
              <w:rPr>
                <w:sz w:val="25"/>
                <w:szCs w:val="25"/>
                <w:lang w:val="lv-LV"/>
              </w:rPr>
              <w:t>Noteikumu projekta 5</w:t>
            </w:r>
            <w:r w:rsidR="00963AD5">
              <w:rPr>
                <w:sz w:val="25"/>
                <w:szCs w:val="25"/>
                <w:lang w:val="lv-LV"/>
              </w:rPr>
              <w:t>7</w:t>
            </w:r>
            <w:r w:rsidRPr="008740B7">
              <w:rPr>
                <w:sz w:val="25"/>
                <w:szCs w:val="25"/>
                <w:lang w:val="lv-LV"/>
              </w:rPr>
              <w:t>.punkts.</w:t>
            </w:r>
          </w:p>
        </w:tc>
        <w:tc>
          <w:tcPr>
            <w:tcW w:w="1261" w:type="pct"/>
          </w:tcPr>
          <w:p w:rsidR="00C3627B" w:rsidRPr="008740B7" w:rsidRDefault="00C3627B" w:rsidP="001B2729">
            <w:pPr>
              <w:pStyle w:val="naiskr"/>
              <w:spacing w:before="0" w:after="0"/>
              <w:rPr>
                <w:sz w:val="25"/>
                <w:szCs w:val="25"/>
              </w:rPr>
            </w:pPr>
            <w:r w:rsidRPr="008740B7">
              <w:rPr>
                <w:sz w:val="25"/>
                <w:szCs w:val="25"/>
              </w:rPr>
              <w:t>Ieviesta pilnībā.</w:t>
            </w:r>
          </w:p>
        </w:tc>
        <w:tc>
          <w:tcPr>
            <w:tcW w:w="1235" w:type="pct"/>
          </w:tcPr>
          <w:p w:rsidR="00C3627B" w:rsidRPr="008740B7" w:rsidRDefault="00C3627B" w:rsidP="001B2729">
            <w:pPr>
              <w:pStyle w:val="naiskr"/>
              <w:spacing w:before="0" w:after="0"/>
              <w:jc w:val="both"/>
              <w:rPr>
                <w:sz w:val="25"/>
                <w:szCs w:val="25"/>
              </w:rPr>
            </w:pPr>
            <w:r w:rsidRPr="008740B7">
              <w:rPr>
                <w:sz w:val="25"/>
                <w:szCs w:val="25"/>
              </w:rPr>
              <w:t>neparedz stingrākas prasības</w:t>
            </w:r>
          </w:p>
        </w:tc>
      </w:tr>
      <w:tr w:rsidR="00C3627B" w:rsidRPr="000E0E01" w:rsidTr="00C3627B">
        <w:trPr>
          <w:trHeight w:val="913"/>
          <w:jc w:val="center"/>
        </w:trPr>
        <w:tc>
          <w:tcPr>
            <w:tcW w:w="1350" w:type="pct"/>
            <w:gridSpan w:val="2"/>
            <w:tcBorders>
              <w:bottom w:val="double" w:sz="6" w:space="0" w:color="BFBFBF"/>
            </w:tcBorders>
            <w:vAlign w:val="center"/>
          </w:tcPr>
          <w:p w:rsidR="00C3627B" w:rsidRPr="008740B7" w:rsidRDefault="00C3627B" w:rsidP="001B2729">
            <w:pPr>
              <w:pStyle w:val="naiskr"/>
              <w:spacing w:before="0" w:after="0"/>
              <w:jc w:val="both"/>
              <w:rPr>
                <w:i/>
                <w:sz w:val="25"/>
                <w:szCs w:val="25"/>
              </w:rPr>
            </w:pPr>
            <w:r w:rsidRPr="008740B7">
              <w:rPr>
                <w:sz w:val="25"/>
                <w:szCs w:val="25"/>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0" w:type="pct"/>
            <w:gridSpan w:val="3"/>
            <w:tcBorders>
              <w:bottom w:val="double" w:sz="6" w:space="0" w:color="BFBFBF"/>
            </w:tcBorders>
          </w:tcPr>
          <w:p w:rsidR="00C3627B" w:rsidRPr="008740B7" w:rsidRDefault="00C3627B" w:rsidP="00C3627B">
            <w:pPr>
              <w:jc w:val="both"/>
              <w:rPr>
                <w:rFonts w:eastAsia="Times New Roman"/>
                <w:iCs/>
                <w:sz w:val="25"/>
                <w:szCs w:val="25"/>
                <w:lang w:val="lv-LV" w:eastAsia="lv-LV"/>
              </w:rPr>
            </w:pPr>
            <w:r w:rsidRPr="008740B7">
              <w:rPr>
                <w:rFonts w:eastAsia="Times New Roman"/>
                <w:iCs/>
                <w:sz w:val="25"/>
                <w:szCs w:val="25"/>
                <w:lang w:val="lv-LV" w:eastAsia="lv-LV"/>
              </w:rPr>
              <w:t>Paziņojumu Eiropas Komisijai (turpmāk – EK) nav nepieciešams sniegt, jo Noteikumu projekts saskaņā ar Komisijas Regulas Nr.800/2008 3.pantu ir atbrīvots no iepriekšējas paziņošanas EK. Par atbalsta programmu saskaņā ar Komisijas Regulas Nr.800/2008 9.pantu EK ir jānosūta kopsavilkuma informācija 20 darba dienu laikā pēc Ministru kabineta noteikumu spēkā stāšanās.</w:t>
            </w:r>
          </w:p>
          <w:p w:rsidR="00C3627B" w:rsidRPr="008740B7" w:rsidRDefault="00C3627B" w:rsidP="001B2729">
            <w:pPr>
              <w:pStyle w:val="naiskr"/>
              <w:spacing w:before="0" w:after="0"/>
              <w:jc w:val="both"/>
              <w:rPr>
                <w:sz w:val="25"/>
                <w:szCs w:val="25"/>
              </w:rPr>
            </w:pPr>
          </w:p>
        </w:tc>
      </w:tr>
      <w:tr w:rsidR="00C3627B" w:rsidRPr="008740B7" w:rsidTr="00C3627B">
        <w:trPr>
          <w:trHeight w:val="338"/>
          <w:jc w:val="center"/>
        </w:trPr>
        <w:tc>
          <w:tcPr>
            <w:tcW w:w="1350" w:type="pct"/>
            <w:gridSpan w:val="2"/>
            <w:tcBorders>
              <w:bottom w:val="double" w:sz="6" w:space="0" w:color="BFBFBF"/>
            </w:tcBorders>
          </w:tcPr>
          <w:p w:rsidR="00C3627B" w:rsidRPr="008740B7" w:rsidRDefault="00C3627B" w:rsidP="001B2729">
            <w:pPr>
              <w:pStyle w:val="naiskr"/>
              <w:spacing w:before="0" w:after="0"/>
              <w:rPr>
                <w:sz w:val="25"/>
                <w:szCs w:val="25"/>
              </w:rPr>
            </w:pPr>
            <w:r w:rsidRPr="008740B7">
              <w:rPr>
                <w:sz w:val="25"/>
                <w:szCs w:val="25"/>
              </w:rPr>
              <w:t>Cita informācija</w:t>
            </w:r>
          </w:p>
        </w:tc>
        <w:tc>
          <w:tcPr>
            <w:tcW w:w="3650" w:type="pct"/>
            <w:gridSpan w:val="3"/>
            <w:tcBorders>
              <w:bottom w:val="double" w:sz="6" w:space="0" w:color="BFBFBF"/>
            </w:tcBorders>
          </w:tcPr>
          <w:p w:rsidR="00C3627B" w:rsidRPr="008740B7" w:rsidRDefault="00C3627B" w:rsidP="001B2729">
            <w:pPr>
              <w:pStyle w:val="naiskr"/>
              <w:spacing w:before="0" w:after="0"/>
              <w:rPr>
                <w:sz w:val="25"/>
                <w:szCs w:val="25"/>
              </w:rPr>
            </w:pPr>
            <w:r w:rsidRPr="008740B7">
              <w:rPr>
                <w:sz w:val="25"/>
                <w:szCs w:val="25"/>
              </w:rPr>
              <w:t>Nav.</w:t>
            </w:r>
          </w:p>
        </w:tc>
      </w:tr>
    </w:tbl>
    <w:p w:rsidR="00BF1311" w:rsidRPr="008740B7" w:rsidRDefault="00BF1311" w:rsidP="00B008D3">
      <w:pPr>
        <w:pStyle w:val="NormalWeb"/>
        <w:spacing w:before="0" w:beforeAutospacing="0" w:after="0" w:afterAutospacing="0"/>
        <w:rPr>
          <w:b/>
          <w:sz w:val="25"/>
          <w:szCs w:val="25"/>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8"/>
        <w:gridCol w:w="1867"/>
        <w:gridCol w:w="6996"/>
      </w:tblGrid>
      <w:tr w:rsidR="00BF1311" w:rsidRPr="000E0E01" w:rsidTr="001B272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center"/>
              <w:rPr>
                <w:rFonts w:eastAsia="Times New Roman"/>
                <w:b/>
                <w:bCs/>
                <w:sz w:val="25"/>
                <w:szCs w:val="25"/>
                <w:lang w:val="lv-LV" w:eastAsia="lv-LV"/>
              </w:rPr>
            </w:pPr>
            <w:r w:rsidRPr="008740B7">
              <w:rPr>
                <w:rFonts w:eastAsia="Times New Roman"/>
                <w:b/>
                <w:bCs/>
                <w:sz w:val="25"/>
                <w:szCs w:val="25"/>
                <w:lang w:val="lv-LV" w:eastAsia="lv-LV"/>
              </w:rPr>
              <w:t>VI. Sabiedrības līdzdalība un šīs līdzdalības rezultāti</w:t>
            </w:r>
          </w:p>
        </w:tc>
      </w:tr>
      <w:tr w:rsidR="00BF1311" w:rsidRPr="000E0E01" w:rsidTr="00BF1311">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eastAsia="lv-LV"/>
              </w:rPr>
            </w:pPr>
            <w:r w:rsidRPr="008740B7">
              <w:rPr>
                <w:rFonts w:eastAsia="Times New Roman"/>
                <w:sz w:val="25"/>
                <w:szCs w:val="25"/>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val="lv-LV" w:eastAsia="lv-LV"/>
              </w:rPr>
            </w:pPr>
            <w:r w:rsidRPr="008740B7">
              <w:rPr>
                <w:rFonts w:eastAsia="Times New Roman"/>
                <w:sz w:val="25"/>
                <w:szCs w:val="25"/>
                <w:lang w:val="lv-LV" w:eastAsia="lv-LV"/>
              </w:rPr>
              <w:t>Sabiedrības informēšana par projekta izstrādes uzsākšanu</w:t>
            </w:r>
          </w:p>
        </w:tc>
        <w:tc>
          <w:tcPr>
            <w:tcW w:w="3769" w:type="pct"/>
            <w:tcBorders>
              <w:top w:val="outset" w:sz="6" w:space="0" w:color="auto"/>
              <w:left w:val="outset" w:sz="6" w:space="0" w:color="auto"/>
              <w:bottom w:val="outset" w:sz="6" w:space="0" w:color="auto"/>
              <w:right w:val="outset" w:sz="6" w:space="0" w:color="auto"/>
            </w:tcBorders>
            <w:hideMark/>
          </w:tcPr>
          <w:p w:rsidR="00BF1311" w:rsidRPr="008740B7" w:rsidRDefault="00BF1311" w:rsidP="005E54F4">
            <w:pPr>
              <w:ind w:firstLine="483"/>
              <w:jc w:val="both"/>
              <w:rPr>
                <w:rFonts w:eastAsia="Times New Roman"/>
                <w:sz w:val="25"/>
                <w:szCs w:val="25"/>
                <w:lang w:val="lv-LV" w:eastAsia="lv-LV"/>
              </w:rPr>
            </w:pPr>
            <w:r w:rsidRPr="008740B7">
              <w:rPr>
                <w:sz w:val="25"/>
                <w:szCs w:val="25"/>
                <w:lang w:val="lv-LV"/>
              </w:rPr>
              <w:t xml:space="preserve">Tiesību akta projekta projektu iesniegumu vērtēšanas kritēriji ir saskaņoti ar </w:t>
            </w:r>
            <w:r w:rsidR="005E54F4" w:rsidRPr="008740B7">
              <w:rPr>
                <w:sz w:val="25"/>
                <w:szCs w:val="25"/>
                <w:lang w:val="lv-LV"/>
              </w:rPr>
              <w:t>komersantus</w:t>
            </w:r>
            <w:r w:rsidRPr="008740B7">
              <w:rPr>
                <w:sz w:val="25"/>
                <w:szCs w:val="25"/>
                <w:lang w:val="lv-LV"/>
              </w:rPr>
              <w:t xml:space="preserve"> pārstāvošām asociācijām </w:t>
            </w:r>
            <w:r w:rsidR="005E54F4" w:rsidRPr="008740B7">
              <w:rPr>
                <w:sz w:val="25"/>
                <w:szCs w:val="25"/>
                <w:lang w:val="lv-LV"/>
              </w:rPr>
              <w:t>2011.gada 16.jūnija Eiropas Savienības fondu uzraudzības komitejas sēdē</w:t>
            </w:r>
            <w:r w:rsidRPr="008740B7">
              <w:rPr>
                <w:sz w:val="25"/>
                <w:szCs w:val="25"/>
                <w:lang w:val="lv-LV"/>
              </w:rPr>
              <w:t>. Tiesību akta projekts 2011.gada 12.augustā tika nosūtīts nozaru asociācijām komentāru sniegšanai, pēc kā saņemtie komentāri tika precizēti tiesību akta projektā.</w:t>
            </w:r>
          </w:p>
        </w:tc>
      </w:tr>
      <w:tr w:rsidR="00BF1311" w:rsidRPr="000E0E01" w:rsidTr="00BF1311">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eastAsia="lv-LV"/>
              </w:rPr>
            </w:pPr>
            <w:r w:rsidRPr="008740B7">
              <w:rPr>
                <w:rFonts w:eastAsia="Times New Roman"/>
                <w:sz w:val="25"/>
                <w:szCs w:val="25"/>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val="lv-LV" w:eastAsia="lv-LV"/>
              </w:rPr>
            </w:pPr>
            <w:r w:rsidRPr="008740B7">
              <w:rPr>
                <w:rFonts w:eastAsia="Times New Roman"/>
                <w:sz w:val="25"/>
                <w:szCs w:val="25"/>
                <w:lang w:val="lv-LV" w:eastAsia="lv-LV"/>
              </w:rPr>
              <w:t>Sabiedrības līdzdalība projekta izstrādē</w:t>
            </w:r>
          </w:p>
        </w:tc>
        <w:tc>
          <w:tcPr>
            <w:tcW w:w="3769" w:type="pct"/>
            <w:tcBorders>
              <w:top w:val="outset" w:sz="6" w:space="0" w:color="auto"/>
              <w:left w:val="outset" w:sz="6" w:space="0" w:color="auto"/>
              <w:bottom w:val="outset" w:sz="6" w:space="0" w:color="auto"/>
              <w:right w:val="outset" w:sz="6" w:space="0" w:color="auto"/>
            </w:tcBorders>
            <w:hideMark/>
          </w:tcPr>
          <w:p w:rsidR="00BF1311" w:rsidRPr="008740B7" w:rsidRDefault="00BF1311" w:rsidP="005E54F4">
            <w:pPr>
              <w:ind w:firstLine="483"/>
              <w:jc w:val="both"/>
              <w:rPr>
                <w:rFonts w:eastAsia="Times New Roman"/>
                <w:iCs/>
                <w:sz w:val="25"/>
                <w:szCs w:val="25"/>
                <w:lang w:val="lv-LV" w:eastAsia="lv-LV"/>
              </w:rPr>
            </w:pPr>
            <w:r w:rsidRPr="008740B7">
              <w:rPr>
                <w:sz w:val="25"/>
                <w:szCs w:val="25"/>
                <w:lang w:val="lv-LV"/>
              </w:rPr>
              <w:t xml:space="preserve">Tiesību akta projekta projektu iesniegumu vērtēšanas kritēriji ir saskaņoti ar </w:t>
            </w:r>
            <w:r w:rsidR="005E54F4" w:rsidRPr="008740B7">
              <w:rPr>
                <w:sz w:val="25"/>
                <w:szCs w:val="25"/>
                <w:lang w:val="lv-LV"/>
              </w:rPr>
              <w:t>komersantus</w:t>
            </w:r>
            <w:r w:rsidRPr="008740B7">
              <w:rPr>
                <w:sz w:val="25"/>
                <w:szCs w:val="25"/>
                <w:lang w:val="lv-LV"/>
              </w:rPr>
              <w:t xml:space="preserve"> pārstāvošām asociācijām </w:t>
            </w:r>
            <w:r w:rsidR="005E54F4" w:rsidRPr="008740B7">
              <w:rPr>
                <w:sz w:val="25"/>
                <w:szCs w:val="25"/>
                <w:lang w:val="lv-LV"/>
              </w:rPr>
              <w:t>2011.gada 16.jūnija Eiropas Savienības fondu uzraudzības komitejas sēdē</w:t>
            </w:r>
            <w:r w:rsidRPr="008740B7">
              <w:rPr>
                <w:sz w:val="25"/>
                <w:szCs w:val="25"/>
                <w:lang w:val="lv-LV"/>
              </w:rPr>
              <w:t>. Tiesību akta projekts 2011.gada 12.augustā tika nosūtīts nozaru asociācijām komentāru sniegšanai, pēc kā saņemtie komentāri tika precizēti tiesību akta projektā.</w:t>
            </w:r>
          </w:p>
        </w:tc>
      </w:tr>
      <w:tr w:rsidR="00BF1311" w:rsidRPr="000E0E01" w:rsidTr="00BF1311">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eastAsia="lv-LV"/>
              </w:rPr>
            </w:pPr>
            <w:r w:rsidRPr="008740B7">
              <w:rPr>
                <w:rFonts w:eastAsia="Times New Roman"/>
                <w:sz w:val="25"/>
                <w:szCs w:val="25"/>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val="lv-LV" w:eastAsia="lv-LV"/>
              </w:rPr>
            </w:pPr>
            <w:r w:rsidRPr="008740B7">
              <w:rPr>
                <w:rFonts w:eastAsia="Times New Roman"/>
                <w:sz w:val="25"/>
                <w:szCs w:val="25"/>
                <w:lang w:val="lv-LV" w:eastAsia="lv-LV"/>
              </w:rPr>
              <w:t>Sabiedrības līdzdalības rezultāti</w:t>
            </w:r>
          </w:p>
        </w:tc>
        <w:tc>
          <w:tcPr>
            <w:tcW w:w="3769" w:type="pct"/>
            <w:tcBorders>
              <w:top w:val="outset" w:sz="6" w:space="0" w:color="auto"/>
              <w:left w:val="outset" w:sz="6" w:space="0" w:color="auto"/>
              <w:bottom w:val="outset" w:sz="6" w:space="0" w:color="auto"/>
              <w:right w:val="outset" w:sz="6" w:space="0" w:color="auto"/>
            </w:tcBorders>
            <w:hideMark/>
          </w:tcPr>
          <w:p w:rsidR="00BF1311" w:rsidRPr="008740B7" w:rsidRDefault="00BF1311" w:rsidP="005E54F4">
            <w:pPr>
              <w:ind w:firstLine="483"/>
              <w:jc w:val="both"/>
              <w:rPr>
                <w:rFonts w:eastAsia="Times New Roman"/>
                <w:sz w:val="25"/>
                <w:szCs w:val="25"/>
                <w:lang w:val="lv-LV" w:eastAsia="lv-LV"/>
              </w:rPr>
            </w:pPr>
            <w:r w:rsidRPr="008740B7">
              <w:rPr>
                <w:sz w:val="25"/>
                <w:szCs w:val="25"/>
                <w:lang w:val="lv-LV"/>
              </w:rPr>
              <w:t xml:space="preserve">Tiesību akta projekta projektu iesniegumu vērtēšanas kritēriji ir saskaņoti ar </w:t>
            </w:r>
            <w:r w:rsidR="005E54F4" w:rsidRPr="008740B7">
              <w:rPr>
                <w:sz w:val="25"/>
                <w:szCs w:val="25"/>
                <w:lang w:val="lv-LV"/>
              </w:rPr>
              <w:t>komersantus</w:t>
            </w:r>
            <w:r w:rsidRPr="008740B7">
              <w:rPr>
                <w:sz w:val="25"/>
                <w:szCs w:val="25"/>
                <w:lang w:val="lv-LV"/>
              </w:rPr>
              <w:t xml:space="preserve"> pārstāvošām asociācijām </w:t>
            </w:r>
            <w:r w:rsidR="005E54F4" w:rsidRPr="008740B7">
              <w:rPr>
                <w:sz w:val="25"/>
                <w:szCs w:val="25"/>
                <w:lang w:val="lv-LV"/>
              </w:rPr>
              <w:t>2011.gada 16.jūnija Eiropas Savienības fondu uzraudzības komitejas sēdē</w:t>
            </w:r>
            <w:r w:rsidRPr="008740B7">
              <w:rPr>
                <w:sz w:val="25"/>
                <w:szCs w:val="25"/>
                <w:lang w:val="lv-LV"/>
              </w:rPr>
              <w:t xml:space="preserve">. Tiesību akta projekts 2011.gada 12.augustā tika nosūtīts nozaru asociācijām komentāru sniegšanai, pēc kā saņemtie komentāri tika </w:t>
            </w:r>
            <w:r w:rsidRPr="008740B7">
              <w:rPr>
                <w:sz w:val="25"/>
                <w:szCs w:val="25"/>
                <w:lang w:val="lv-LV"/>
              </w:rPr>
              <w:lastRenderedPageBreak/>
              <w:t>precizēti tiesību akta projektā.</w:t>
            </w:r>
          </w:p>
        </w:tc>
      </w:tr>
      <w:tr w:rsidR="00BF1311" w:rsidRPr="008740B7" w:rsidTr="00BF1311">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eastAsia="lv-LV"/>
              </w:rPr>
            </w:pPr>
            <w:r w:rsidRPr="008740B7">
              <w:rPr>
                <w:rFonts w:eastAsia="Times New Roman"/>
                <w:sz w:val="25"/>
                <w:szCs w:val="25"/>
                <w:lang w:eastAsia="lv-LV"/>
              </w:rPr>
              <w:lastRenderedPageBreak/>
              <w:t>4.</w:t>
            </w:r>
          </w:p>
        </w:tc>
        <w:tc>
          <w:tcPr>
            <w:tcW w:w="996"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val="lv-LV" w:eastAsia="lv-LV"/>
              </w:rPr>
            </w:pPr>
            <w:r w:rsidRPr="008740B7">
              <w:rPr>
                <w:rFonts w:eastAsia="Times New Roman"/>
                <w:sz w:val="25"/>
                <w:szCs w:val="25"/>
                <w:lang w:val="lv-LV" w:eastAsia="lv-LV"/>
              </w:rPr>
              <w:t>Saeimas un ekspertu līdzdalība</w:t>
            </w:r>
          </w:p>
        </w:tc>
        <w:tc>
          <w:tcPr>
            <w:tcW w:w="3769"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ind w:firstLine="483"/>
              <w:jc w:val="both"/>
              <w:rPr>
                <w:rFonts w:eastAsia="Times New Roman"/>
                <w:sz w:val="25"/>
                <w:szCs w:val="25"/>
                <w:lang w:val="lv-LV" w:eastAsia="lv-LV"/>
              </w:rPr>
            </w:pPr>
            <w:r w:rsidRPr="008740B7">
              <w:rPr>
                <w:rFonts w:eastAsia="Times New Roman"/>
                <w:iCs/>
                <w:sz w:val="25"/>
                <w:szCs w:val="25"/>
                <w:lang w:val="lv-LV" w:eastAsia="lv-LV"/>
              </w:rPr>
              <w:t>Projekts šo jomu neskar. </w:t>
            </w:r>
          </w:p>
        </w:tc>
      </w:tr>
      <w:tr w:rsidR="00BF1311" w:rsidRPr="008740B7" w:rsidTr="00BF1311">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eastAsia="lv-LV"/>
              </w:rPr>
            </w:pPr>
            <w:r w:rsidRPr="008740B7">
              <w:rPr>
                <w:rFonts w:eastAsia="Times New Roman"/>
                <w:sz w:val="25"/>
                <w:szCs w:val="25"/>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jc w:val="both"/>
              <w:rPr>
                <w:rFonts w:eastAsia="Times New Roman"/>
                <w:sz w:val="25"/>
                <w:szCs w:val="25"/>
                <w:lang w:val="lv-LV" w:eastAsia="lv-LV"/>
              </w:rPr>
            </w:pPr>
            <w:r w:rsidRPr="008740B7">
              <w:rPr>
                <w:rFonts w:eastAsia="Times New Roman"/>
                <w:sz w:val="25"/>
                <w:szCs w:val="25"/>
                <w:lang w:val="lv-LV" w:eastAsia="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BF1311" w:rsidRPr="008740B7" w:rsidRDefault="00BF1311" w:rsidP="001B2729">
            <w:pPr>
              <w:ind w:firstLine="483"/>
              <w:jc w:val="both"/>
              <w:rPr>
                <w:rFonts w:eastAsia="Times New Roman"/>
                <w:sz w:val="25"/>
                <w:szCs w:val="25"/>
                <w:lang w:val="lv-LV" w:eastAsia="lv-LV"/>
              </w:rPr>
            </w:pPr>
            <w:r w:rsidRPr="008740B7">
              <w:rPr>
                <w:rFonts w:eastAsia="Times New Roman"/>
                <w:sz w:val="25"/>
                <w:szCs w:val="25"/>
                <w:lang w:val="lv-LV" w:eastAsia="lv-LV"/>
              </w:rPr>
              <w:t>Nav.</w:t>
            </w:r>
          </w:p>
        </w:tc>
      </w:tr>
    </w:tbl>
    <w:p w:rsidR="00BF1311" w:rsidRPr="008740B7" w:rsidRDefault="00BF1311" w:rsidP="00B008D3">
      <w:pPr>
        <w:pStyle w:val="NormalWeb"/>
        <w:spacing w:before="0" w:beforeAutospacing="0" w:after="0" w:afterAutospacing="0"/>
        <w:rPr>
          <w:b/>
          <w:sz w:val="25"/>
          <w:szCs w:val="25"/>
          <w:lang w:val="lv-LV"/>
        </w:rPr>
      </w:pPr>
    </w:p>
    <w:p w:rsidR="00BF1311" w:rsidRPr="008740B7" w:rsidRDefault="00BF1311" w:rsidP="00B008D3">
      <w:pPr>
        <w:pStyle w:val="NormalWeb"/>
        <w:spacing w:before="0" w:beforeAutospacing="0" w:after="0" w:afterAutospacing="0"/>
        <w:rPr>
          <w:b/>
          <w:sz w:val="25"/>
          <w:szCs w:val="25"/>
          <w:lang w:val="lv-LV"/>
        </w:rPr>
      </w:pPr>
    </w:p>
    <w:tbl>
      <w:tblPr>
        <w:tblW w:w="5080" w:type="pct"/>
        <w:tblInd w:w="-3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349"/>
        <w:gridCol w:w="3967"/>
        <w:gridCol w:w="4961"/>
      </w:tblGrid>
      <w:tr w:rsidR="00CD45F0" w:rsidRPr="000E0E01" w:rsidTr="00CD45F0">
        <w:tc>
          <w:tcPr>
            <w:tcW w:w="5000" w:type="pct"/>
            <w:gridSpan w:val="3"/>
            <w:vAlign w:val="center"/>
          </w:tcPr>
          <w:p w:rsidR="00CD45F0" w:rsidRPr="008740B7" w:rsidRDefault="00CD45F0" w:rsidP="00CD45F0">
            <w:pPr>
              <w:jc w:val="center"/>
              <w:rPr>
                <w:rFonts w:eastAsia="Times New Roman"/>
                <w:b/>
                <w:sz w:val="25"/>
                <w:szCs w:val="25"/>
                <w:lang w:val="lv-LV" w:eastAsia="lv-LV"/>
              </w:rPr>
            </w:pPr>
            <w:r w:rsidRPr="008740B7">
              <w:rPr>
                <w:rFonts w:eastAsia="Times New Roman"/>
                <w:b/>
                <w:sz w:val="25"/>
                <w:szCs w:val="25"/>
                <w:lang w:val="lv-LV" w:eastAsia="lv-LV"/>
              </w:rPr>
              <w:t>VII. Tiesību akta projekta izpildes nodrošināšana un tās ietekme uz institūcijām</w:t>
            </w:r>
          </w:p>
        </w:tc>
      </w:tr>
      <w:tr w:rsidR="00CD45F0" w:rsidRPr="000E0E01" w:rsidTr="00CD45F0">
        <w:tc>
          <w:tcPr>
            <w:tcW w:w="188" w:type="pct"/>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1.</w:t>
            </w:r>
          </w:p>
        </w:tc>
        <w:tc>
          <w:tcPr>
            <w:tcW w:w="2138" w:type="pct"/>
            <w:hideMark/>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Projekta izpildē iesaistītās institūcijas</w:t>
            </w:r>
          </w:p>
        </w:tc>
        <w:tc>
          <w:tcPr>
            <w:tcW w:w="2674" w:type="pct"/>
            <w:hideMark/>
          </w:tcPr>
          <w:p w:rsidR="00CD45F0" w:rsidRPr="008740B7" w:rsidRDefault="00CD45F0" w:rsidP="001B2729">
            <w:pPr>
              <w:ind w:firstLine="426"/>
              <w:jc w:val="both"/>
              <w:rPr>
                <w:rFonts w:eastAsia="Times New Roman"/>
                <w:sz w:val="25"/>
                <w:szCs w:val="25"/>
                <w:lang w:val="lv-LV" w:eastAsia="lv-LV"/>
              </w:rPr>
            </w:pPr>
            <w:r w:rsidRPr="008740B7">
              <w:rPr>
                <w:sz w:val="25"/>
                <w:szCs w:val="25"/>
                <w:lang w:val="lv-LV"/>
              </w:rPr>
              <w:t>Noteikumu projekta izpildē ir iesaistīta Latvijas Investīciju un attīstības aģentūra.</w:t>
            </w:r>
          </w:p>
        </w:tc>
      </w:tr>
      <w:tr w:rsidR="00CD45F0" w:rsidRPr="000E0E01" w:rsidTr="00CD45F0">
        <w:tc>
          <w:tcPr>
            <w:tcW w:w="188" w:type="pct"/>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2.</w:t>
            </w:r>
          </w:p>
        </w:tc>
        <w:tc>
          <w:tcPr>
            <w:tcW w:w="2138" w:type="pct"/>
            <w:hideMark/>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Projekta izpildes ietekme uz pārvaldes funkcijā</w:t>
            </w:r>
          </w:p>
        </w:tc>
        <w:tc>
          <w:tcPr>
            <w:tcW w:w="2674" w:type="pct"/>
            <w:hideMark/>
          </w:tcPr>
          <w:p w:rsidR="00CD45F0" w:rsidRPr="008740B7" w:rsidRDefault="00CD45F0" w:rsidP="001B2729">
            <w:pPr>
              <w:ind w:firstLine="426"/>
              <w:jc w:val="both"/>
              <w:rPr>
                <w:sz w:val="25"/>
                <w:szCs w:val="25"/>
                <w:lang w:val="lv-LV"/>
              </w:rPr>
            </w:pPr>
            <w:r w:rsidRPr="008740B7">
              <w:rPr>
                <w:sz w:val="25"/>
                <w:szCs w:val="25"/>
                <w:lang w:val="lv-LV"/>
              </w:rPr>
              <w:t>Noteikumu projekta izpildi nodrošinās Latvijas Investīciju un attīstības aģentūras darbības ietvaros.</w:t>
            </w:r>
          </w:p>
        </w:tc>
      </w:tr>
      <w:tr w:rsidR="00CD45F0" w:rsidRPr="008740B7" w:rsidTr="00CD45F0">
        <w:trPr>
          <w:trHeight w:val="930"/>
        </w:trPr>
        <w:tc>
          <w:tcPr>
            <w:tcW w:w="188" w:type="pct"/>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3.</w:t>
            </w:r>
          </w:p>
        </w:tc>
        <w:tc>
          <w:tcPr>
            <w:tcW w:w="2138" w:type="pct"/>
            <w:hideMark/>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Projekta izpildes ietekme uz pārvaldes institucionālo struktūru. Jaunu institūciju izveide</w:t>
            </w:r>
          </w:p>
        </w:tc>
        <w:tc>
          <w:tcPr>
            <w:tcW w:w="2674" w:type="pct"/>
            <w:hideMark/>
          </w:tcPr>
          <w:p w:rsidR="00CD45F0" w:rsidRPr="008740B7" w:rsidRDefault="00CD45F0" w:rsidP="001B2729">
            <w:pPr>
              <w:ind w:firstLine="426"/>
              <w:jc w:val="both"/>
              <w:rPr>
                <w:rFonts w:eastAsia="Times New Roman"/>
                <w:sz w:val="25"/>
                <w:szCs w:val="25"/>
                <w:lang w:val="lv-LV" w:eastAsia="lv-LV"/>
              </w:rPr>
            </w:pPr>
            <w:r w:rsidRPr="008740B7">
              <w:rPr>
                <w:sz w:val="25"/>
                <w:szCs w:val="25"/>
                <w:lang w:val="lv-LV"/>
              </w:rPr>
              <w:t>Noteikumu projekta izpildei nav nepieciešams radīt jaunas institūcijas.</w:t>
            </w:r>
          </w:p>
        </w:tc>
      </w:tr>
      <w:tr w:rsidR="00CD45F0" w:rsidRPr="000E0E01" w:rsidTr="00CD45F0">
        <w:trPr>
          <w:trHeight w:val="1133"/>
        </w:trPr>
        <w:tc>
          <w:tcPr>
            <w:tcW w:w="188" w:type="pct"/>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4.</w:t>
            </w:r>
          </w:p>
        </w:tc>
        <w:tc>
          <w:tcPr>
            <w:tcW w:w="2138" w:type="pct"/>
            <w:hideMark/>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Projekta izpildes ietekmes uz pārvaldes institucionālo struktūru. Esošu institūciju likvidācija</w:t>
            </w:r>
          </w:p>
        </w:tc>
        <w:tc>
          <w:tcPr>
            <w:tcW w:w="2674" w:type="pct"/>
            <w:hideMark/>
          </w:tcPr>
          <w:p w:rsidR="00CD45F0" w:rsidRPr="008740B7" w:rsidRDefault="00CD45F0" w:rsidP="001B2729">
            <w:pPr>
              <w:ind w:firstLine="426"/>
              <w:jc w:val="both"/>
              <w:rPr>
                <w:rFonts w:eastAsia="Times New Roman"/>
                <w:sz w:val="25"/>
                <w:szCs w:val="25"/>
                <w:lang w:val="lv-LV" w:eastAsia="lv-LV"/>
              </w:rPr>
            </w:pPr>
            <w:r w:rsidRPr="008740B7">
              <w:rPr>
                <w:sz w:val="25"/>
                <w:szCs w:val="25"/>
                <w:lang w:val="lv-LV"/>
              </w:rPr>
              <w:t>Noteikumu projekta izpildei nav nepieciešams likvidēt esošās institūcijas.</w:t>
            </w:r>
          </w:p>
        </w:tc>
      </w:tr>
      <w:tr w:rsidR="00CD45F0" w:rsidRPr="008740B7" w:rsidTr="00CD45F0">
        <w:trPr>
          <w:trHeight w:val="912"/>
        </w:trPr>
        <w:tc>
          <w:tcPr>
            <w:tcW w:w="188" w:type="pct"/>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5.</w:t>
            </w:r>
          </w:p>
        </w:tc>
        <w:tc>
          <w:tcPr>
            <w:tcW w:w="2138" w:type="pct"/>
            <w:hideMark/>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Projekta izpildes ietekmes uz pārvaldes institucionālo struktūru. Esošu institūciju reorganizācija</w:t>
            </w:r>
          </w:p>
        </w:tc>
        <w:tc>
          <w:tcPr>
            <w:tcW w:w="2674" w:type="pct"/>
            <w:hideMark/>
          </w:tcPr>
          <w:p w:rsidR="00CD45F0" w:rsidRPr="008740B7" w:rsidRDefault="00CD45F0" w:rsidP="001B2729">
            <w:pPr>
              <w:ind w:firstLine="426"/>
              <w:jc w:val="both"/>
              <w:rPr>
                <w:rFonts w:eastAsia="Times New Roman"/>
                <w:sz w:val="25"/>
                <w:szCs w:val="25"/>
                <w:lang w:val="lv-LV" w:eastAsia="lv-LV"/>
              </w:rPr>
            </w:pPr>
            <w:r w:rsidRPr="008740B7">
              <w:rPr>
                <w:sz w:val="25"/>
                <w:szCs w:val="25"/>
                <w:lang w:val="lv-LV"/>
              </w:rPr>
              <w:t>Noteikumu projekta izpildei nav nepieciešams reorganizēt esošās institūcijas.</w:t>
            </w:r>
          </w:p>
        </w:tc>
      </w:tr>
      <w:tr w:rsidR="00CD45F0" w:rsidRPr="008740B7" w:rsidTr="00CD45F0">
        <w:tc>
          <w:tcPr>
            <w:tcW w:w="188" w:type="pct"/>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6.</w:t>
            </w:r>
          </w:p>
        </w:tc>
        <w:tc>
          <w:tcPr>
            <w:tcW w:w="2138" w:type="pct"/>
            <w:hideMark/>
          </w:tcPr>
          <w:p w:rsidR="00CD45F0" w:rsidRPr="008740B7" w:rsidRDefault="00CD45F0" w:rsidP="001B2729">
            <w:pPr>
              <w:rPr>
                <w:rFonts w:eastAsia="Times New Roman"/>
                <w:sz w:val="25"/>
                <w:szCs w:val="25"/>
                <w:lang w:val="lv-LV" w:eastAsia="lv-LV"/>
              </w:rPr>
            </w:pPr>
            <w:r w:rsidRPr="008740B7">
              <w:rPr>
                <w:rFonts w:eastAsia="Times New Roman"/>
                <w:sz w:val="25"/>
                <w:szCs w:val="25"/>
                <w:lang w:val="lv-LV" w:eastAsia="lv-LV"/>
              </w:rPr>
              <w:t>Cita informācija</w:t>
            </w:r>
          </w:p>
        </w:tc>
        <w:tc>
          <w:tcPr>
            <w:tcW w:w="2674" w:type="pct"/>
            <w:hideMark/>
          </w:tcPr>
          <w:p w:rsidR="00CD45F0" w:rsidRPr="008740B7" w:rsidRDefault="00CD45F0" w:rsidP="001B2729">
            <w:pPr>
              <w:ind w:firstLine="426"/>
              <w:rPr>
                <w:rFonts w:eastAsia="Times New Roman"/>
                <w:sz w:val="25"/>
                <w:szCs w:val="25"/>
                <w:lang w:val="lv-LV" w:eastAsia="lv-LV"/>
              </w:rPr>
            </w:pPr>
            <w:r w:rsidRPr="008740B7">
              <w:rPr>
                <w:rFonts w:eastAsia="Times New Roman"/>
                <w:sz w:val="25"/>
                <w:szCs w:val="25"/>
                <w:lang w:val="lv-LV" w:eastAsia="lv-LV"/>
              </w:rPr>
              <w:t>Nav.</w:t>
            </w:r>
          </w:p>
        </w:tc>
      </w:tr>
    </w:tbl>
    <w:p w:rsidR="00B008D3" w:rsidRPr="008740B7" w:rsidRDefault="00B008D3" w:rsidP="00B008D3">
      <w:pPr>
        <w:pStyle w:val="NormalWeb"/>
        <w:spacing w:before="0" w:beforeAutospacing="0" w:after="0" w:afterAutospacing="0"/>
        <w:rPr>
          <w:b/>
          <w:sz w:val="25"/>
          <w:szCs w:val="25"/>
          <w:lang w:val="lv-LV"/>
        </w:rPr>
      </w:pPr>
      <w:r w:rsidRPr="008740B7">
        <w:rPr>
          <w:b/>
          <w:sz w:val="25"/>
          <w:szCs w:val="25"/>
          <w:lang w:val="lv-LV"/>
        </w:rPr>
        <w:t>Anotācijas III</w:t>
      </w:r>
      <w:r w:rsidR="00BF1311" w:rsidRPr="008740B7">
        <w:rPr>
          <w:b/>
          <w:sz w:val="25"/>
          <w:szCs w:val="25"/>
          <w:lang w:val="lv-LV"/>
        </w:rPr>
        <w:t xml:space="preserve">. </w:t>
      </w:r>
      <w:r w:rsidRPr="008740B7">
        <w:rPr>
          <w:b/>
          <w:sz w:val="25"/>
          <w:szCs w:val="25"/>
          <w:lang w:val="lv-LV"/>
        </w:rPr>
        <w:t xml:space="preserve">sadaļa – projekts </w:t>
      </w:r>
      <w:r w:rsidR="00BF1311" w:rsidRPr="008740B7">
        <w:rPr>
          <w:b/>
          <w:sz w:val="25"/>
          <w:szCs w:val="25"/>
          <w:lang w:val="lv-LV"/>
        </w:rPr>
        <w:t>šo</w:t>
      </w:r>
      <w:r w:rsidRPr="008740B7">
        <w:rPr>
          <w:b/>
          <w:sz w:val="25"/>
          <w:szCs w:val="25"/>
          <w:lang w:val="lv-LV"/>
        </w:rPr>
        <w:t xml:space="preserve"> jom</w:t>
      </w:r>
      <w:r w:rsidR="005E54F4" w:rsidRPr="008740B7">
        <w:rPr>
          <w:b/>
          <w:sz w:val="25"/>
          <w:szCs w:val="25"/>
          <w:lang w:val="lv-LV"/>
        </w:rPr>
        <w:t>u</w:t>
      </w:r>
      <w:r w:rsidRPr="008740B7">
        <w:rPr>
          <w:b/>
          <w:sz w:val="25"/>
          <w:szCs w:val="25"/>
          <w:lang w:val="lv-LV"/>
        </w:rPr>
        <w:t xml:space="preserve"> neskar.</w:t>
      </w:r>
    </w:p>
    <w:p w:rsidR="00403EAD" w:rsidRPr="008740B7" w:rsidRDefault="00403EAD" w:rsidP="00CE5A53">
      <w:pPr>
        <w:tabs>
          <w:tab w:val="left" w:pos="7655"/>
        </w:tabs>
        <w:jc w:val="both"/>
        <w:rPr>
          <w:bCs/>
          <w:sz w:val="25"/>
          <w:szCs w:val="25"/>
          <w:lang w:val="lv-LV"/>
        </w:rPr>
      </w:pPr>
    </w:p>
    <w:p w:rsidR="004B638C" w:rsidRPr="008740B7" w:rsidRDefault="004B638C" w:rsidP="00CE5A53">
      <w:pPr>
        <w:tabs>
          <w:tab w:val="left" w:pos="7655"/>
        </w:tabs>
        <w:jc w:val="both"/>
        <w:rPr>
          <w:bCs/>
          <w:sz w:val="25"/>
          <w:szCs w:val="25"/>
          <w:lang w:val="lv-LV"/>
        </w:rPr>
      </w:pPr>
    </w:p>
    <w:p w:rsidR="00CE5A53" w:rsidRPr="008740B7" w:rsidRDefault="00CE5A53" w:rsidP="00CE5A53">
      <w:pPr>
        <w:tabs>
          <w:tab w:val="left" w:pos="7655"/>
        </w:tabs>
        <w:jc w:val="both"/>
        <w:rPr>
          <w:bCs/>
          <w:sz w:val="25"/>
          <w:szCs w:val="25"/>
          <w:lang w:val="lv-LV"/>
        </w:rPr>
      </w:pPr>
    </w:p>
    <w:p w:rsidR="00CD2155" w:rsidRPr="008740B7" w:rsidRDefault="00CD2155" w:rsidP="00CE5A53">
      <w:pPr>
        <w:tabs>
          <w:tab w:val="left" w:pos="7655"/>
        </w:tabs>
        <w:jc w:val="both"/>
        <w:rPr>
          <w:bCs/>
          <w:sz w:val="25"/>
          <w:szCs w:val="25"/>
          <w:lang w:val="lv-LV"/>
        </w:rPr>
      </w:pPr>
    </w:p>
    <w:p w:rsidR="00403EAD" w:rsidRPr="008740B7" w:rsidRDefault="00C82B27" w:rsidP="00CE5A53">
      <w:pPr>
        <w:tabs>
          <w:tab w:val="left" w:pos="7655"/>
        </w:tabs>
        <w:jc w:val="both"/>
        <w:rPr>
          <w:bCs/>
          <w:sz w:val="25"/>
          <w:szCs w:val="25"/>
          <w:lang w:val="lv-LV"/>
        </w:rPr>
      </w:pPr>
      <w:r w:rsidRPr="008740B7">
        <w:rPr>
          <w:bCs/>
          <w:sz w:val="25"/>
          <w:szCs w:val="25"/>
          <w:lang w:val="lv-LV"/>
        </w:rPr>
        <w:t>Ekonomikas ministrs</w:t>
      </w:r>
      <w:r w:rsidRPr="008740B7">
        <w:rPr>
          <w:bCs/>
          <w:sz w:val="25"/>
          <w:szCs w:val="25"/>
          <w:lang w:val="lv-LV"/>
        </w:rPr>
        <w:tab/>
        <w:t>A.Kampars</w:t>
      </w:r>
    </w:p>
    <w:p w:rsidR="00860FDE" w:rsidRPr="008740B7" w:rsidRDefault="00860FDE" w:rsidP="00CE5A53">
      <w:pPr>
        <w:pStyle w:val="EnvelopeReturn"/>
        <w:jc w:val="both"/>
        <w:rPr>
          <w:rFonts w:ascii="Times New Roman" w:hAnsi="Times New Roman"/>
          <w:color w:val="000000"/>
          <w:sz w:val="25"/>
          <w:szCs w:val="25"/>
          <w:lang w:val="lv-LV"/>
        </w:rPr>
      </w:pPr>
    </w:p>
    <w:p w:rsidR="00CE5A53" w:rsidRPr="008740B7" w:rsidRDefault="00CE5A53" w:rsidP="00CE5A53">
      <w:pPr>
        <w:pStyle w:val="EnvelopeReturn"/>
        <w:jc w:val="both"/>
        <w:rPr>
          <w:rFonts w:ascii="Times New Roman" w:hAnsi="Times New Roman"/>
          <w:color w:val="000000"/>
          <w:sz w:val="25"/>
          <w:szCs w:val="25"/>
          <w:lang w:val="lv-LV"/>
        </w:rPr>
      </w:pPr>
    </w:p>
    <w:p w:rsidR="004B638C" w:rsidRPr="008740B7" w:rsidRDefault="004B638C" w:rsidP="00CE5A53">
      <w:pPr>
        <w:pStyle w:val="EnvelopeReturn"/>
        <w:jc w:val="both"/>
        <w:rPr>
          <w:rFonts w:ascii="Times New Roman" w:hAnsi="Times New Roman"/>
          <w:color w:val="000000"/>
          <w:sz w:val="25"/>
          <w:szCs w:val="25"/>
          <w:lang w:val="lv-LV"/>
        </w:rPr>
      </w:pPr>
    </w:p>
    <w:p w:rsidR="004B638C" w:rsidRPr="008740B7" w:rsidRDefault="004B638C" w:rsidP="00CE5A53">
      <w:pPr>
        <w:pStyle w:val="EnvelopeReturn"/>
        <w:jc w:val="both"/>
        <w:rPr>
          <w:rFonts w:ascii="Times New Roman" w:hAnsi="Times New Roman"/>
          <w:color w:val="000000"/>
          <w:sz w:val="25"/>
          <w:szCs w:val="25"/>
          <w:lang w:val="lv-LV"/>
        </w:rPr>
      </w:pPr>
    </w:p>
    <w:p w:rsidR="00403EAD" w:rsidRPr="008740B7" w:rsidRDefault="00C82B27" w:rsidP="00CE5A53">
      <w:pPr>
        <w:pStyle w:val="EnvelopeReturn"/>
        <w:jc w:val="both"/>
        <w:rPr>
          <w:rFonts w:ascii="Times New Roman" w:hAnsi="Times New Roman"/>
          <w:color w:val="000000"/>
          <w:sz w:val="25"/>
          <w:szCs w:val="25"/>
          <w:lang w:val="lv-LV"/>
        </w:rPr>
      </w:pPr>
      <w:r w:rsidRPr="008740B7">
        <w:rPr>
          <w:rFonts w:ascii="Times New Roman" w:hAnsi="Times New Roman"/>
          <w:color w:val="000000"/>
          <w:sz w:val="25"/>
          <w:szCs w:val="25"/>
          <w:lang w:val="lv-LV"/>
        </w:rPr>
        <w:t>Vīza: Valsts sekretār</w:t>
      </w:r>
      <w:r w:rsidR="0054660D" w:rsidRPr="008740B7">
        <w:rPr>
          <w:rFonts w:ascii="Times New Roman" w:hAnsi="Times New Roman"/>
          <w:color w:val="000000"/>
          <w:sz w:val="25"/>
          <w:szCs w:val="25"/>
          <w:lang w:val="lv-LV"/>
        </w:rPr>
        <w:t>s</w:t>
      </w:r>
      <w:r w:rsidR="0054660D"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ab/>
      </w:r>
      <w:r w:rsidR="0044690B" w:rsidRPr="008740B7">
        <w:rPr>
          <w:rFonts w:ascii="Times New Roman" w:hAnsi="Times New Roman"/>
          <w:color w:val="000000"/>
          <w:sz w:val="25"/>
          <w:szCs w:val="25"/>
          <w:lang w:val="lv-LV"/>
        </w:rPr>
        <w:tab/>
      </w:r>
      <w:r w:rsidRPr="008740B7">
        <w:rPr>
          <w:rFonts w:ascii="Times New Roman" w:hAnsi="Times New Roman"/>
          <w:color w:val="000000"/>
          <w:sz w:val="25"/>
          <w:szCs w:val="25"/>
          <w:lang w:val="lv-LV"/>
        </w:rPr>
        <w:t xml:space="preserve">      </w:t>
      </w:r>
      <w:r w:rsidR="0054660D" w:rsidRPr="008740B7">
        <w:rPr>
          <w:rFonts w:ascii="Times New Roman" w:hAnsi="Times New Roman"/>
          <w:color w:val="000000"/>
          <w:sz w:val="25"/>
          <w:szCs w:val="25"/>
          <w:lang w:val="lv-LV"/>
        </w:rPr>
        <w:t>J</w:t>
      </w:r>
      <w:r w:rsidRPr="008740B7">
        <w:rPr>
          <w:rFonts w:ascii="Times New Roman" w:hAnsi="Times New Roman"/>
          <w:color w:val="000000"/>
          <w:sz w:val="25"/>
          <w:szCs w:val="25"/>
          <w:lang w:val="lv-LV"/>
        </w:rPr>
        <w:t>.</w:t>
      </w:r>
      <w:r w:rsidR="0054660D" w:rsidRPr="008740B7">
        <w:rPr>
          <w:rFonts w:ascii="Times New Roman" w:hAnsi="Times New Roman"/>
          <w:color w:val="000000"/>
          <w:sz w:val="25"/>
          <w:szCs w:val="25"/>
          <w:lang w:val="lv-LV"/>
        </w:rPr>
        <w:t>Pūce</w:t>
      </w:r>
    </w:p>
    <w:p w:rsidR="00403EAD" w:rsidRPr="008740B7" w:rsidRDefault="00403EAD" w:rsidP="00CE5A53">
      <w:pPr>
        <w:jc w:val="both"/>
        <w:rPr>
          <w:color w:val="000000"/>
          <w:sz w:val="25"/>
          <w:szCs w:val="25"/>
          <w:lang w:val="lv-LV"/>
        </w:rPr>
      </w:pPr>
    </w:p>
    <w:p w:rsidR="00403EAD" w:rsidRPr="008740B7" w:rsidRDefault="00403EAD" w:rsidP="00CE5A53">
      <w:pPr>
        <w:jc w:val="both"/>
        <w:rPr>
          <w:color w:val="000000"/>
          <w:sz w:val="25"/>
          <w:szCs w:val="25"/>
          <w:lang w:val="lv-LV"/>
        </w:rPr>
      </w:pPr>
    </w:p>
    <w:p w:rsidR="00265959" w:rsidRPr="008740B7" w:rsidRDefault="00265959" w:rsidP="00CE5A53">
      <w:pPr>
        <w:jc w:val="both"/>
        <w:rPr>
          <w:color w:val="000000"/>
          <w:sz w:val="25"/>
          <w:szCs w:val="25"/>
          <w:lang w:val="lv-LV"/>
        </w:rPr>
      </w:pPr>
    </w:p>
    <w:p w:rsidR="00CD2155" w:rsidRPr="008740B7" w:rsidRDefault="00CD2155" w:rsidP="00CE5A53">
      <w:pPr>
        <w:jc w:val="both"/>
        <w:rPr>
          <w:color w:val="000000"/>
          <w:sz w:val="25"/>
          <w:szCs w:val="25"/>
          <w:lang w:val="lv-LV"/>
        </w:rPr>
      </w:pPr>
    </w:p>
    <w:p w:rsidR="00CD2155" w:rsidRPr="008740B7" w:rsidRDefault="00CD2155" w:rsidP="00CE5A53">
      <w:pPr>
        <w:jc w:val="both"/>
        <w:rPr>
          <w:color w:val="000000"/>
          <w:sz w:val="25"/>
          <w:szCs w:val="25"/>
          <w:lang w:val="lv-LV"/>
        </w:rPr>
      </w:pPr>
    </w:p>
    <w:p w:rsidR="00CD2155" w:rsidRPr="008740B7" w:rsidRDefault="00CD2155" w:rsidP="00CE5A53">
      <w:pPr>
        <w:jc w:val="both"/>
        <w:rPr>
          <w:color w:val="000000"/>
          <w:sz w:val="25"/>
          <w:szCs w:val="25"/>
          <w:lang w:val="lv-LV"/>
        </w:rPr>
      </w:pPr>
    </w:p>
    <w:p w:rsidR="004B692F" w:rsidRPr="008740B7" w:rsidRDefault="000E0E01" w:rsidP="00CE5A53">
      <w:pPr>
        <w:jc w:val="both"/>
        <w:rPr>
          <w:color w:val="000000"/>
          <w:lang w:val="lv-LV"/>
        </w:rPr>
      </w:pPr>
      <w:r>
        <w:rPr>
          <w:color w:val="000000"/>
          <w:lang w:val="lv-LV"/>
        </w:rPr>
        <w:t>2011.10.06. 15:04</w:t>
      </w:r>
    </w:p>
    <w:p w:rsidR="001E4A96" w:rsidRPr="008740B7" w:rsidRDefault="007006E3" w:rsidP="00CE5A53">
      <w:pPr>
        <w:jc w:val="both"/>
        <w:rPr>
          <w:lang w:val="lv-LV"/>
        </w:rPr>
      </w:pPr>
      <w:fldSimple w:instr=" NUMWORDS   \* MERGEFORMAT ">
        <w:r w:rsidR="005D43E0" w:rsidRPr="005D43E0">
          <w:rPr>
            <w:noProof/>
            <w:lang w:val="lv-LV"/>
          </w:rPr>
          <w:t>1960</w:t>
        </w:r>
      </w:fldSimple>
    </w:p>
    <w:p w:rsidR="00004E51" w:rsidRPr="008740B7" w:rsidRDefault="0044690B" w:rsidP="00CE5A53">
      <w:pPr>
        <w:jc w:val="both"/>
        <w:rPr>
          <w:color w:val="000000"/>
          <w:lang w:val="lv-LV"/>
        </w:rPr>
      </w:pPr>
      <w:r w:rsidRPr="008740B7">
        <w:rPr>
          <w:color w:val="000000"/>
          <w:lang w:val="lv-LV"/>
        </w:rPr>
        <w:t>Māris Krūmiņš</w:t>
      </w:r>
    </w:p>
    <w:p w:rsidR="00FA1511" w:rsidRPr="00CD2155" w:rsidRDefault="00456ADC" w:rsidP="00CE5A53">
      <w:pPr>
        <w:jc w:val="both"/>
        <w:rPr>
          <w:lang w:val="lv-LV"/>
        </w:rPr>
      </w:pPr>
      <w:r w:rsidRPr="008740B7">
        <w:rPr>
          <w:color w:val="000000"/>
          <w:lang w:val="lv-LV"/>
        </w:rPr>
        <w:t>67013</w:t>
      </w:r>
      <w:r w:rsidR="0044690B" w:rsidRPr="008740B7">
        <w:rPr>
          <w:color w:val="000000"/>
          <w:lang w:val="lv-LV"/>
        </w:rPr>
        <w:t>082</w:t>
      </w:r>
      <w:r w:rsidR="00C852AB" w:rsidRPr="008740B7">
        <w:rPr>
          <w:color w:val="000000"/>
          <w:lang w:val="lv-LV"/>
        </w:rPr>
        <w:t xml:space="preserve">, </w:t>
      </w:r>
      <w:r w:rsidR="0044690B" w:rsidRPr="008740B7">
        <w:rPr>
          <w:lang w:val="lv-LV"/>
        </w:rPr>
        <w:t>Maris.Krumins</w:t>
      </w:r>
      <w:r w:rsidR="00C852AB" w:rsidRPr="008740B7">
        <w:rPr>
          <w:lang w:val="lv-LV"/>
        </w:rPr>
        <w:t>@em.gov.lv</w:t>
      </w:r>
    </w:p>
    <w:sectPr w:rsidR="00FA1511" w:rsidRPr="00CD2155" w:rsidSect="00B014C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39" w:rsidRDefault="005F4A39" w:rsidP="00B014C2">
      <w:r>
        <w:separator/>
      </w:r>
    </w:p>
  </w:endnote>
  <w:endnote w:type="continuationSeparator" w:id="0">
    <w:p w:rsidR="005F4A39" w:rsidRDefault="005F4A39"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F73CBA" w:rsidRDefault="007006E3" w:rsidP="00F73CBA">
    <w:pPr>
      <w:jc w:val="both"/>
      <w:outlineLvl w:val="0"/>
      <w:rPr>
        <w:rFonts w:eastAsia="Times New Roman"/>
        <w:sz w:val="24"/>
        <w:szCs w:val="24"/>
        <w:lang w:val="lv-LV" w:eastAsia="lv-LV"/>
      </w:rPr>
    </w:pPr>
    <w:fldSimple w:instr=" FILENAME   \* MERGEFORMAT ">
      <w:r w:rsidR="0022342D" w:rsidRPr="0022342D">
        <w:rPr>
          <w:noProof/>
        </w:rPr>
        <w:t>EMAnot_</w:t>
      </w:r>
      <w:r w:rsidR="00B44F6E">
        <w:rPr>
          <w:noProof/>
        </w:rPr>
        <w:t>0</w:t>
      </w:r>
      <w:r w:rsidR="008740B7">
        <w:rPr>
          <w:noProof/>
        </w:rPr>
        <w:t>6</w:t>
      </w:r>
      <w:r w:rsidR="00B44F6E">
        <w:rPr>
          <w:noProof/>
        </w:rPr>
        <w:t>10</w:t>
      </w:r>
      <w:r w:rsidR="00B80ACC" w:rsidRPr="0022342D">
        <w:rPr>
          <w:noProof/>
        </w:rPr>
        <w:t>1</w:t>
      </w:r>
      <w:r w:rsidR="00B80ACC">
        <w:rPr>
          <w:noProof/>
        </w:rPr>
        <w:t>1</w:t>
      </w:r>
      <w:r w:rsidR="0022342D" w:rsidRPr="0022342D">
        <w:rPr>
          <w:noProof/>
        </w:rPr>
        <w:t>_</w:t>
      </w:r>
      <w:r w:rsidR="0022342D">
        <w:rPr>
          <w:noProof/>
        </w:rPr>
        <w:t>13111_3.kārta</w:t>
      </w:r>
    </w:fldSimple>
    <w:r w:rsidR="0022342D" w:rsidRPr="0022342D">
      <w:t xml:space="preserve">; </w:t>
    </w:r>
    <w:bookmarkStart w:id="9" w:name="OLE_LINK9"/>
    <w:bookmarkStart w:id="10" w:name="OLE_LINK11"/>
    <w:bookmarkStart w:id="11" w:name="OLE_LINK12"/>
    <w:r w:rsidR="0022342D" w:rsidRPr="0022342D">
      <w:rPr>
        <w:rFonts w:eastAsia="Times New Roman"/>
        <w:lang w:val="lv-LV" w:eastAsia="lv-LV"/>
      </w:rPr>
      <w:t>Minist</w:t>
    </w:r>
    <w:r w:rsidR="0022342D">
      <w:rPr>
        <w:rFonts w:eastAsia="Times New Roman"/>
        <w:lang w:val="lv-LV" w:eastAsia="lv-LV"/>
      </w:rPr>
      <w:t>ru kabineta noteikumu projekta</w:t>
    </w:r>
    <w:r w:rsidR="0022342D" w:rsidRPr="0022342D">
      <w:rPr>
        <w:rFonts w:eastAsia="Times New Roman"/>
        <w:lang w:val="lv-LV" w:eastAsia="lv-LV"/>
      </w:rPr>
      <w:t xml:space="preserve"> „Noteikumi par darbības programmas </w:t>
    </w:r>
    <w:r w:rsidR="0022342D">
      <w:rPr>
        <w:rFonts w:eastAsia="Times New Roman"/>
        <w:lang w:val="lv-LV" w:eastAsia="lv-LV"/>
      </w:rPr>
      <w:t>„</w:t>
    </w:r>
    <w:r w:rsidR="0022342D" w:rsidRPr="0022342D">
      <w:rPr>
        <w:rFonts w:eastAsia="Times New Roman"/>
        <w:lang w:val="lv-LV" w:eastAsia="lv-LV"/>
      </w:rPr>
      <w:t>Cilvēkresursi un nodarbinātība</w:t>
    </w:r>
    <w:r w:rsidR="0022342D">
      <w:rPr>
        <w:rFonts w:eastAsia="Times New Roman"/>
        <w:lang w:val="lv-LV" w:eastAsia="lv-LV"/>
      </w:rPr>
      <w:t>”</w:t>
    </w:r>
    <w:r w:rsidR="0022342D" w:rsidRPr="0022342D">
      <w:rPr>
        <w:rFonts w:eastAsia="Times New Roman"/>
        <w:lang w:val="lv-LV" w:eastAsia="lv-LV"/>
      </w:rPr>
      <w:t xml:space="preserve"> papildinājuma 1.3.1.1.1.apakšaktivitātes </w:t>
    </w:r>
    <w:r w:rsidR="0022342D">
      <w:rPr>
        <w:rFonts w:eastAsia="Times New Roman"/>
        <w:lang w:val="lv-LV" w:eastAsia="lv-LV"/>
      </w:rPr>
      <w:t>„</w:t>
    </w:r>
    <w:r w:rsidR="0022342D" w:rsidRPr="0022342D">
      <w:rPr>
        <w:rFonts w:eastAsia="Times New Roman"/>
        <w:lang w:val="lv-LV" w:eastAsia="lv-LV"/>
      </w:rPr>
      <w:t>Atbalsts nodarbināto apmācībām komersantu konkurētspējas veicināšanai – atbalsts partnerībās organizētām apmācībām</w:t>
    </w:r>
    <w:r w:rsidR="0022342D">
      <w:rPr>
        <w:rFonts w:eastAsia="Times New Roman"/>
        <w:lang w:val="lv-LV" w:eastAsia="lv-LV"/>
      </w:rPr>
      <w:t>”</w:t>
    </w:r>
    <w:r w:rsidR="0022342D" w:rsidRPr="0022342D">
      <w:rPr>
        <w:rFonts w:eastAsia="Times New Roman"/>
        <w:lang w:val="lv-LV" w:eastAsia="lv-LV"/>
      </w:rPr>
      <w:t xml:space="preserve"> projektu iesniegumu atla</w:t>
    </w:r>
    <w:r w:rsidR="0022342D">
      <w:rPr>
        <w:rFonts w:eastAsia="Times New Roman"/>
        <w:lang w:val="lv-LV" w:eastAsia="lv-LV"/>
      </w:rPr>
      <w:t xml:space="preserve">ses </w:t>
    </w:r>
    <w:r w:rsidR="00C55FF6">
      <w:rPr>
        <w:rFonts w:eastAsia="Times New Roman"/>
        <w:lang w:val="lv-LV" w:eastAsia="lv-LV"/>
      </w:rPr>
      <w:t>trešo</w:t>
    </w:r>
    <w:r w:rsidR="0022342D">
      <w:rPr>
        <w:rFonts w:eastAsia="Times New Roman"/>
        <w:lang w:val="lv-LV" w:eastAsia="lv-LV"/>
      </w:rPr>
      <w:t xml:space="preserve"> un turpmākajām kārtām”</w:t>
    </w:r>
    <w:r w:rsidR="0022342D" w:rsidRPr="0022342D">
      <w:rPr>
        <w:rFonts w:eastAsia="Times New Roman"/>
        <w:lang w:val="lv-LV" w:eastAsia="lv-LV"/>
      </w:rPr>
      <w:t xml:space="preserve"> sākotnējās ietekmes novērtējuma ziņojums (anotācija)</w:t>
    </w:r>
    <w:bookmarkEnd w:id="9"/>
    <w:bookmarkEnd w:id="10"/>
    <w:bookmarkEnd w:id="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22342D" w:rsidRDefault="007006E3" w:rsidP="00DD7A97">
    <w:pPr>
      <w:jc w:val="both"/>
      <w:outlineLvl w:val="0"/>
      <w:rPr>
        <w:rFonts w:eastAsia="Times New Roman"/>
        <w:lang w:val="lv-LV" w:eastAsia="lv-LV"/>
      </w:rPr>
    </w:pPr>
    <w:fldSimple w:instr=" FILENAME   \* MERGEFORMAT ">
      <w:r w:rsidR="0054660D" w:rsidRPr="0022342D">
        <w:rPr>
          <w:noProof/>
        </w:rPr>
        <w:t>EMAnot_</w:t>
      </w:r>
      <w:r w:rsidR="00B44F6E">
        <w:rPr>
          <w:noProof/>
        </w:rPr>
        <w:t>0</w:t>
      </w:r>
      <w:r w:rsidR="008740B7">
        <w:rPr>
          <w:noProof/>
        </w:rPr>
        <w:t>6</w:t>
      </w:r>
      <w:r w:rsidR="00B44F6E">
        <w:rPr>
          <w:noProof/>
        </w:rPr>
        <w:t>10</w:t>
      </w:r>
      <w:r w:rsidR="00B80ACC" w:rsidRPr="0022342D">
        <w:rPr>
          <w:noProof/>
        </w:rPr>
        <w:t>1</w:t>
      </w:r>
      <w:r w:rsidR="00B80ACC">
        <w:rPr>
          <w:noProof/>
        </w:rPr>
        <w:t>1</w:t>
      </w:r>
      <w:r w:rsidR="0054660D" w:rsidRPr="0022342D">
        <w:rPr>
          <w:noProof/>
        </w:rPr>
        <w:t>_</w:t>
      </w:r>
      <w:r w:rsidR="0022342D">
        <w:rPr>
          <w:noProof/>
        </w:rPr>
        <w:t>13111_3.kārta</w:t>
      </w:r>
    </w:fldSimple>
    <w:r w:rsidR="000D1257" w:rsidRPr="0022342D">
      <w:t xml:space="preserve">; </w:t>
    </w:r>
    <w:r w:rsidR="00F73CBA" w:rsidRPr="0022342D">
      <w:rPr>
        <w:rFonts w:eastAsia="Times New Roman"/>
        <w:lang w:val="lv-LV" w:eastAsia="lv-LV"/>
      </w:rPr>
      <w:t>Minist</w:t>
    </w:r>
    <w:r w:rsidR="0022342D">
      <w:rPr>
        <w:rFonts w:eastAsia="Times New Roman"/>
        <w:lang w:val="lv-LV" w:eastAsia="lv-LV"/>
      </w:rPr>
      <w:t>ru kabineta noteikumu projekta</w:t>
    </w:r>
    <w:r w:rsidR="00F73CBA" w:rsidRPr="0022342D">
      <w:rPr>
        <w:rFonts w:eastAsia="Times New Roman"/>
        <w:lang w:val="lv-LV" w:eastAsia="lv-LV"/>
      </w:rPr>
      <w:t xml:space="preserve"> „Noteikumi par darbības programmas </w:t>
    </w:r>
    <w:r w:rsidR="0022342D">
      <w:rPr>
        <w:rFonts w:eastAsia="Times New Roman"/>
        <w:lang w:val="lv-LV" w:eastAsia="lv-LV"/>
      </w:rPr>
      <w:t>„</w:t>
    </w:r>
    <w:r w:rsidR="00F73CBA" w:rsidRPr="0022342D">
      <w:rPr>
        <w:rFonts w:eastAsia="Times New Roman"/>
        <w:lang w:val="lv-LV" w:eastAsia="lv-LV"/>
      </w:rPr>
      <w:t>Cilvēkresursi un nodarbinātība</w:t>
    </w:r>
    <w:r w:rsidR="0022342D">
      <w:rPr>
        <w:rFonts w:eastAsia="Times New Roman"/>
        <w:lang w:val="lv-LV" w:eastAsia="lv-LV"/>
      </w:rPr>
      <w:t>”</w:t>
    </w:r>
    <w:r w:rsidR="00F73CBA" w:rsidRPr="0022342D">
      <w:rPr>
        <w:rFonts w:eastAsia="Times New Roman"/>
        <w:lang w:val="lv-LV" w:eastAsia="lv-LV"/>
      </w:rPr>
      <w:t xml:space="preserve"> papildinājuma 1.3.1.1.1.apakšaktivitātes </w:t>
    </w:r>
    <w:r w:rsidR="0022342D">
      <w:rPr>
        <w:rFonts w:eastAsia="Times New Roman"/>
        <w:lang w:val="lv-LV" w:eastAsia="lv-LV"/>
      </w:rPr>
      <w:t>„</w:t>
    </w:r>
    <w:r w:rsidR="00F73CBA" w:rsidRPr="0022342D">
      <w:rPr>
        <w:rFonts w:eastAsia="Times New Roman"/>
        <w:lang w:val="lv-LV" w:eastAsia="lv-LV"/>
      </w:rPr>
      <w:t>Atbalsts nodarbināto apmācībām komersantu konkurētspējas veicināšanai – atbalsts partnerībās organizētām apmācībām</w:t>
    </w:r>
    <w:r w:rsidR="0022342D">
      <w:rPr>
        <w:rFonts w:eastAsia="Times New Roman"/>
        <w:lang w:val="lv-LV" w:eastAsia="lv-LV"/>
      </w:rPr>
      <w:t>”</w:t>
    </w:r>
    <w:r w:rsidR="00F73CBA" w:rsidRPr="0022342D">
      <w:rPr>
        <w:rFonts w:eastAsia="Times New Roman"/>
        <w:lang w:val="lv-LV" w:eastAsia="lv-LV"/>
      </w:rPr>
      <w:t xml:space="preserve"> projektu iesniegumu atla</w:t>
    </w:r>
    <w:r w:rsidR="0022342D">
      <w:rPr>
        <w:rFonts w:eastAsia="Times New Roman"/>
        <w:lang w:val="lv-LV" w:eastAsia="lv-LV"/>
      </w:rPr>
      <w:t xml:space="preserve">ses </w:t>
    </w:r>
    <w:r w:rsidR="00C55FF6">
      <w:rPr>
        <w:rFonts w:eastAsia="Times New Roman"/>
        <w:lang w:val="lv-LV" w:eastAsia="lv-LV"/>
      </w:rPr>
      <w:t>trešo</w:t>
    </w:r>
    <w:r w:rsidR="0022342D">
      <w:rPr>
        <w:rFonts w:eastAsia="Times New Roman"/>
        <w:lang w:val="lv-LV" w:eastAsia="lv-LV"/>
      </w:rPr>
      <w:t xml:space="preserve"> un turpmākajām kārtām”</w:t>
    </w:r>
    <w:r w:rsidR="00F73CBA" w:rsidRPr="0022342D">
      <w:rPr>
        <w:rFonts w:eastAsia="Times New Roman"/>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39" w:rsidRDefault="005F4A39" w:rsidP="00B014C2">
      <w:r>
        <w:separator/>
      </w:r>
    </w:p>
  </w:footnote>
  <w:footnote w:type="continuationSeparator" w:id="0">
    <w:p w:rsidR="005F4A39" w:rsidRDefault="005F4A39"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7006E3">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0E0E01">
      <w:rPr>
        <w:noProof/>
        <w:sz w:val="24"/>
        <w:szCs w:val="24"/>
      </w:rPr>
      <w:t>8</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28336F"/>
    <w:multiLevelType w:val="hybridMultilevel"/>
    <w:tmpl w:val="E200C2F2"/>
    <w:lvl w:ilvl="0" w:tplc="F22E746E">
      <w:start w:val="1"/>
      <w:numFmt w:val="bullet"/>
      <w:lvlText w:val="–"/>
      <w:lvlJc w:val="left"/>
      <w:pPr>
        <w:ind w:left="1086" w:hanging="360"/>
      </w:pPr>
      <w:rPr>
        <w:rFonts w:ascii="Times New Roman" w:hAnsi="Times New Roman" w:cs="Times New Roman" w:hint="default"/>
        <w:color w:val="000000"/>
        <w:sz w:val="18"/>
        <w:szCs w:val="18"/>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4">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6BE7581F"/>
    <w:multiLevelType w:val="hybridMultilevel"/>
    <w:tmpl w:val="DCFA0B88"/>
    <w:lvl w:ilvl="0" w:tplc="391A06C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04E51"/>
    <w:rsid w:val="0001186C"/>
    <w:rsid w:val="000158C8"/>
    <w:rsid w:val="0001764D"/>
    <w:rsid w:val="000229E4"/>
    <w:rsid w:val="00025B0A"/>
    <w:rsid w:val="0002603A"/>
    <w:rsid w:val="00026C03"/>
    <w:rsid w:val="0002762A"/>
    <w:rsid w:val="0003046E"/>
    <w:rsid w:val="00036E03"/>
    <w:rsid w:val="000415DE"/>
    <w:rsid w:val="0004167C"/>
    <w:rsid w:val="00047EF5"/>
    <w:rsid w:val="00050EA4"/>
    <w:rsid w:val="00052E89"/>
    <w:rsid w:val="000539B0"/>
    <w:rsid w:val="00063CC7"/>
    <w:rsid w:val="000643D5"/>
    <w:rsid w:val="00065AD2"/>
    <w:rsid w:val="0007058B"/>
    <w:rsid w:val="000729ED"/>
    <w:rsid w:val="00083227"/>
    <w:rsid w:val="00085E74"/>
    <w:rsid w:val="000921C6"/>
    <w:rsid w:val="0009399C"/>
    <w:rsid w:val="00094A9F"/>
    <w:rsid w:val="00097583"/>
    <w:rsid w:val="000A434E"/>
    <w:rsid w:val="000A4AED"/>
    <w:rsid w:val="000A696F"/>
    <w:rsid w:val="000A7437"/>
    <w:rsid w:val="000B0719"/>
    <w:rsid w:val="000D0388"/>
    <w:rsid w:val="000D1257"/>
    <w:rsid w:val="000D140B"/>
    <w:rsid w:val="000D2F05"/>
    <w:rsid w:val="000D30E0"/>
    <w:rsid w:val="000D4B8D"/>
    <w:rsid w:val="000D72B7"/>
    <w:rsid w:val="000E0E01"/>
    <w:rsid w:val="000E409F"/>
    <w:rsid w:val="000E4277"/>
    <w:rsid w:val="000F3F4C"/>
    <w:rsid w:val="000F45CB"/>
    <w:rsid w:val="000F6E9E"/>
    <w:rsid w:val="001002E4"/>
    <w:rsid w:val="00101FE0"/>
    <w:rsid w:val="0010410B"/>
    <w:rsid w:val="001047E8"/>
    <w:rsid w:val="001068DB"/>
    <w:rsid w:val="00110E66"/>
    <w:rsid w:val="001134A1"/>
    <w:rsid w:val="00113586"/>
    <w:rsid w:val="00113C28"/>
    <w:rsid w:val="00115E25"/>
    <w:rsid w:val="0011745E"/>
    <w:rsid w:val="001237C7"/>
    <w:rsid w:val="00130C6B"/>
    <w:rsid w:val="00131C62"/>
    <w:rsid w:val="00141536"/>
    <w:rsid w:val="00141EF2"/>
    <w:rsid w:val="00142CBB"/>
    <w:rsid w:val="001507B4"/>
    <w:rsid w:val="00156BF0"/>
    <w:rsid w:val="00157107"/>
    <w:rsid w:val="001658E5"/>
    <w:rsid w:val="00166B88"/>
    <w:rsid w:val="001705C0"/>
    <w:rsid w:val="001720E2"/>
    <w:rsid w:val="0017312C"/>
    <w:rsid w:val="00175716"/>
    <w:rsid w:val="001764E7"/>
    <w:rsid w:val="00177DD5"/>
    <w:rsid w:val="001831F7"/>
    <w:rsid w:val="001834D0"/>
    <w:rsid w:val="001871BB"/>
    <w:rsid w:val="00191102"/>
    <w:rsid w:val="00193BE3"/>
    <w:rsid w:val="00195030"/>
    <w:rsid w:val="0019558A"/>
    <w:rsid w:val="0019707E"/>
    <w:rsid w:val="001973A7"/>
    <w:rsid w:val="001A0D4B"/>
    <w:rsid w:val="001A6894"/>
    <w:rsid w:val="001B3236"/>
    <w:rsid w:val="001B3656"/>
    <w:rsid w:val="001B5F59"/>
    <w:rsid w:val="001B6A67"/>
    <w:rsid w:val="001B6D15"/>
    <w:rsid w:val="001C1BFF"/>
    <w:rsid w:val="001C723C"/>
    <w:rsid w:val="001D0F0D"/>
    <w:rsid w:val="001D1964"/>
    <w:rsid w:val="001D1BF7"/>
    <w:rsid w:val="001D37CE"/>
    <w:rsid w:val="001D5E9C"/>
    <w:rsid w:val="001D62EC"/>
    <w:rsid w:val="001D6919"/>
    <w:rsid w:val="001D76FC"/>
    <w:rsid w:val="001E4A96"/>
    <w:rsid w:val="001E5031"/>
    <w:rsid w:val="001E71F4"/>
    <w:rsid w:val="001F02C1"/>
    <w:rsid w:val="001F301A"/>
    <w:rsid w:val="001F7479"/>
    <w:rsid w:val="001F7527"/>
    <w:rsid w:val="00205FEE"/>
    <w:rsid w:val="0021241F"/>
    <w:rsid w:val="00213D6A"/>
    <w:rsid w:val="00217BC1"/>
    <w:rsid w:val="00221D48"/>
    <w:rsid w:val="00222C39"/>
    <w:rsid w:val="0022342D"/>
    <w:rsid w:val="00223C20"/>
    <w:rsid w:val="0023085A"/>
    <w:rsid w:val="00230FB6"/>
    <w:rsid w:val="00233657"/>
    <w:rsid w:val="00240CAE"/>
    <w:rsid w:val="00243A9D"/>
    <w:rsid w:val="00247529"/>
    <w:rsid w:val="002507A0"/>
    <w:rsid w:val="00255F16"/>
    <w:rsid w:val="00257A14"/>
    <w:rsid w:val="00257EAE"/>
    <w:rsid w:val="00265959"/>
    <w:rsid w:val="0026604A"/>
    <w:rsid w:val="00271DF1"/>
    <w:rsid w:val="002720E3"/>
    <w:rsid w:val="002748FF"/>
    <w:rsid w:val="0028114E"/>
    <w:rsid w:val="00284615"/>
    <w:rsid w:val="0028698C"/>
    <w:rsid w:val="002A0CEE"/>
    <w:rsid w:val="002A126D"/>
    <w:rsid w:val="002A328F"/>
    <w:rsid w:val="002A3C61"/>
    <w:rsid w:val="002A646A"/>
    <w:rsid w:val="002B4D01"/>
    <w:rsid w:val="002C0E0E"/>
    <w:rsid w:val="002C20C8"/>
    <w:rsid w:val="002C7CFA"/>
    <w:rsid w:val="002D7773"/>
    <w:rsid w:val="002D7DF1"/>
    <w:rsid w:val="002E0A0D"/>
    <w:rsid w:val="002E0D23"/>
    <w:rsid w:val="002E507C"/>
    <w:rsid w:val="002E5461"/>
    <w:rsid w:val="002E6122"/>
    <w:rsid w:val="002E7530"/>
    <w:rsid w:val="002F063C"/>
    <w:rsid w:val="002F3311"/>
    <w:rsid w:val="002F423D"/>
    <w:rsid w:val="002F4553"/>
    <w:rsid w:val="002F53BF"/>
    <w:rsid w:val="002F54CE"/>
    <w:rsid w:val="002F5BBF"/>
    <w:rsid w:val="002F6D2C"/>
    <w:rsid w:val="003000F0"/>
    <w:rsid w:val="003002FD"/>
    <w:rsid w:val="00303B7C"/>
    <w:rsid w:val="003108D5"/>
    <w:rsid w:val="003205FD"/>
    <w:rsid w:val="00320B71"/>
    <w:rsid w:val="00322A15"/>
    <w:rsid w:val="0032394F"/>
    <w:rsid w:val="0033352C"/>
    <w:rsid w:val="00335837"/>
    <w:rsid w:val="003372CD"/>
    <w:rsid w:val="0034284E"/>
    <w:rsid w:val="0034329B"/>
    <w:rsid w:val="003451DA"/>
    <w:rsid w:val="003525FA"/>
    <w:rsid w:val="0035647E"/>
    <w:rsid w:val="00360437"/>
    <w:rsid w:val="00361DA6"/>
    <w:rsid w:val="003633B3"/>
    <w:rsid w:val="00363B7B"/>
    <w:rsid w:val="00374BCF"/>
    <w:rsid w:val="003756B1"/>
    <w:rsid w:val="00375A4C"/>
    <w:rsid w:val="00382BEB"/>
    <w:rsid w:val="00383500"/>
    <w:rsid w:val="00384799"/>
    <w:rsid w:val="003970C6"/>
    <w:rsid w:val="003A2B62"/>
    <w:rsid w:val="003A5963"/>
    <w:rsid w:val="003A632E"/>
    <w:rsid w:val="003C3FA4"/>
    <w:rsid w:val="003C5D28"/>
    <w:rsid w:val="003D704B"/>
    <w:rsid w:val="003E0167"/>
    <w:rsid w:val="003E28D2"/>
    <w:rsid w:val="003E2968"/>
    <w:rsid w:val="003E3604"/>
    <w:rsid w:val="003E6CB3"/>
    <w:rsid w:val="003F095C"/>
    <w:rsid w:val="003F1D99"/>
    <w:rsid w:val="003F464F"/>
    <w:rsid w:val="003F4E09"/>
    <w:rsid w:val="003F67B9"/>
    <w:rsid w:val="004001AA"/>
    <w:rsid w:val="00402B2B"/>
    <w:rsid w:val="00403279"/>
    <w:rsid w:val="00403EAD"/>
    <w:rsid w:val="00404D4B"/>
    <w:rsid w:val="00404E4B"/>
    <w:rsid w:val="00407840"/>
    <w:rsid w:val="004124AF"/>
    <w:rsid w:val="00414319"/>
    <w:rsid w:val="00420FC8"/>
    <w:rsid w:val="0042395B"/>
    <w:rsid w:val="0042472B"/>
    <w:rsid w:val="004260C8"/>
    <w:rsid w:val="0043243D"/>
    <w:rsid w:val="004368B2"/>
    <w:rsid w:val="00436E6A"/>
    <w:rsid w:val="0044690B"/>
    <w:rsid w:val="004527EA"/>
    <w:rsid w:val="00456ADC"/>
    <w:rsid w:val="00460A29"/>
    <w:rsid w:val="0046221D"/>
    <w:rsid w:val="004657AC"/>
    <w:rsid w:val="00471B85"/>
    <w:rsid w:val="00472755"/>
    <w:rsid w:val="0047714C"/>
    <w:rsid w:val="004775F4"/>
    <w:rsid w:val="004829AD"/>
    <w:rsid w:val="00484C10"/>
    <w:rsid w:val="00485772"/>
    <w:rsid w:val="00485D96"/>
    <w:rsid w:val="004878E3"/>
    <w:rsid w:val="004A10F4"/>
    <w:rsid w:val="004A19D5"/>
    <w:rsid w:val="004A1A10"/>
    <w:rsid w:val="004A20FA"/>
    <w:rsid w:val="004A7CF9"/>
    <w:rsid w:val="004A7F61"/>
    <w:rsid w:val="004B2D82"/>
    <w:rsid w:val="004B3CA5"/>
    <w:rsid w:val="004B638C"/>
    <w:rsid w:val="004B692F"/>
    <w:rsid w:val="004C310A"/>
    <w:rsid w:val="004C54F0"/>
    <w:rsid w:val="004C7B7E"/>
    <w:rsid w:val="004D4997"/>
    <w:rsid w:val="004D6AC5"/>
    <w:rsid w:val="004E7663"/>
    <w:rsid w:val="004E7F2B"/>
    <w:rsid w:val="004F2F91"/>
    <w:rsid w:val="00502E9A"/>
    <w:rsid w:val="005064C9"/>
    <w:rsid w:val="00510235"/>
    <w:rsid w:val="00517C20"/>
    <w:rsid w:val="00520070"/>
    <w:rsid w:val="00522B62"/>
    <w:rsid w:val="005279FC"/>
    <w:rsid w:val="00531E23"/>
    <w:rsid w:val="00533893"/>
    <w:rsid w:val="0053500F"/>
    <w:rsid w:val="00537A29"/>
    <w:rsid w:val="00541EFC"/>
    <w:rsid w:val="005422C3"/>
    <w:rsid w:val="00542F49"/>
    <w:rsid w:val="0054474D"/>
    <w:rsid w:val="0054660D"/>
    <w:rsid w:val="005471CA"/>
    <w:rsid w:val="00551B3C"/>
    <w:rsid w:val="00554A7A"/>
    <w:rsid w:val="00556A56"/>
    <w:rsid w:val="00560311"/>
    <w:rsid w:val="00561CB9"/>
    <w:rsid w:val="00564298"/>
    <w:rsid w:val="0056528D"/>
    <w:rsid w:val="00575602"/>
    <w:rsid w:val="00575C67"/>
    <w:rsid w:val="00576B09"/>
    <w:rsid w:val="00580317"/>
    <w:rsid w:val="0058249F"/>
    <w:rsid w:val="0058333E"/>
    <w:rsid w:val="0058679B"/>
    <w:rsid w:val="005867C2"/>
    <w:rsid w:val="005867EB"/>
    <w:rsid w:val="005877DA"/>
    <w:rsid w:val="005B1EC4"/>
    <w:rsid w:val="005B29DE"/>
    <w:rsid w:val="005B4178"/>
    <w:rsid w:val="005B4D4E"/>
    <w:rsid w:val="005C03F5"/>
    <w:rsid w:val="005C251D"/>
    <w:rsid w:val="005C3235"/>
    <w:rsid w:val="005C6DDB"/>
    <w:rsid w:val="005D3658"/>
    <w:rsid w:val="005D43E0"/>
    <w:rsid w:val="005E2C40"/>
    <w:rsid w:val="005E54F4"/>
    <w:rsid w:val="005F129D"/>
    <w:rsid w:val="005F4A39"/>
    <w:rsid w:val="005F5121"/>
    <w:rsid w:val="005F65CE"/>
    <w:rsid w:val="00604D1A"/>
    <w:rsid w:val="006056A8"/>
    <w:rsid w:val="00606694"/>
    <w:rsid w:val="006126A9"/>
    <w:rsid w:val="00613019"/>
    <w:rsid w:val="00616CBC"/>
    <w:rsid w:val="006218A6"/>
    <w:rsid w:val="006224F7"/>
    <w:rsid w:val="00623730"/>
    <w:rsid w:val="00630367"/>
    <w:rsid w:val="00631039"/>
    <w:rsid w:val="006316BA"/>
    <w:rsid w:val="006349DF"/>
    <w:rsid w:val="00636440"/>
    <w:rsid w:val="006456BB"/>
    <w:rsid w:val="00647FA6"/>
    <w:rsid w:val="00650716"/>
    <w:rsid w:val="00651669"/>
    <w:rsid w:val="006676BC"/>
    <w:rsid w:val="00672A2F"/>
    <w:rsid w:val="00674BA7"/>
    <w:rsid w:val="00676770"/>
    <w:rsid w:val="00681496"/>
    <w:rsid w:val="00687F3B"/>
    <w:rsid w:val="006910BE"/>
    <w:rsid w:val="00693FAB"/>
    <w:rsid w:val="00696772"/>
    <w:rsid w:val="0069780B"/>
    <w:rsid w:val="006A59EB"/>
    <w:rsid w:val="006A7638"/>
    <w:rsid w:val="006B1596"/>
    <w:rsid w:val="006B584A"/>
    <w:rsid w:val="006C04B0"/>
    <w:rsid w:val="006C136E"/>
    <w:rsid w:val="006C1797"/>
    <w:rsid w:val="006D0B9B"/>
    <w:rsid w:val="006D1F62"/>
    <w:rsid w:val="006D3A18"/>
    <w:rsid w:val="006D4C40"/>
    <w:rsid w:val="006D69A4"/>
    <w:rsid w:val="006E2C3C"/>
    <w:rsid w:val="006E3C5D"/>
    <w:rsid w:val="006E53FC"/>
    <w:rsid w:val="006E67D7"/>
    <w:rsid w:val="006F0C19"/>
    <w:rsid w:val="006F24A8"/>
    <w:rsid w:val="006F29B4"/>
    <w:rsid w:val="006F56C1"/>
    <w:rsid w:val="00700070"/>
    <w:rsid w:val="007006E3"/>
    <w:rsid w:val="007058E9"/>
    <w:rsid w:val="0071026C"/>
    <w:rsid w:val="00716045"/>
    <w:rsid w:val="00717A18"/>
    <w:rsid w:val="007217E4"/>
    <w:rsid w:val="0072267A"/>
    <w:rsid w:val="00725107"/>
    <w:rsid w:val="007259AB"/>
    <w:rsid w:val="0072668A"/>
    <w:rsid w:val="007278CF"/>
    <w:rsid w:val="007315C5"/>
    <w:rsid w:val="007355DD"/>
    <w:rsid w:val="007363F2"/>
    <w:rsid w:val="00737AB8"/>
    <w:rsid w:val="00741F6A"/>
    <w:rsid w:val="007547B1"/>
    <w:rsid w:val="00760465"/>
    <w:rsid w:val="00767185"/>
    <w:rsid w:val="0077435A"/>
    <w:rsid w:val="00780424"/>
    <w:rsid w:val="00787BED"/>
    <w:rsid w:val="00787DED"/>
    <w:rsid w:val="00794B98"/>
    <w:rsid w:val="007A0D95"/>
    <w:rsid w:val="007A14D0"/>
    <w:rsid w:val="007A1D95"/>
    <w:rsid w:val="007A25F6"/>
    <w:rsid w:val="007A3DB5"/>
    <w:rsid w:val="007A436D"/>
    <w:rsid w:val="007A593A"/>
    <w:rsid w:val="007A7FC5"/>
    <w:rsid w:val="007B1BE8"/>
    <w:rsid w:val="007C2992"/>
    <w:rsid w:val="007C5432"/>
    <w:rsid w:val="007D6900"/>
    <w:rsid w:val="007D7613"/>
    <w:rsid w:val="007D7A8A"/>
    <w:rsid w:val="007E34D8"/>
    <w:rsid w:val="007E5D4D"/>
    <w:rsid w:val="007E7623"/>
    <w:rsid w:val="007F0242"/>
    <w:rsid w:val="007F0C15"/>
    <w:rsid w:val="007F0DC3"/>
    <w:rsid w:val="007F1028"/>
    <w:rsid w:val="007F64E2"/>
    <w:rsid w:val="00807DD6"/>
    <w:rsid w:val="00810454"/>
    <w:rsid w:val="00812990"/>
    <w:rsid w:val="00817839"/>
    <w:rsid w:val="00823419"/>
    <w:rsid w:val="0082376A"/>
    <w:rsid w:val="00823CBA"/>
    <w:rsid w:val="008265EF"/>
    <w:rsid w:val="00827407"/>
    <w:rsid w:val="00832642"/>
    <w:rsid w:val="00843294"/>
    <w:rsid w:val="00845F2C"/>
    <w:rsid w:val="008549AE"/>
    <w:rsid w:val="00860387"/>
    <w:rsid w:val="00860FDE"/>
    <w:rsid w:val="00862D34"/>
    <w:rsid w:val="008740B7"/>
    <w:rsid w:val="00874C25"/>
    <w:rsid w:val="00877265"/>
    <w:rsid w:val="00877FED"/>
    <w:rsid w:val="00884239"/>
    <w:rsid w:val="00890831"/>
    <w:rsid w:val="0089090B"/>
    <w:rsid w:val="00891DAA"/>
    <w:rsid w:val="008927D8"/>
    <w:rsid w:val="0089622A"/>
    <w:rsid w:val="008972A4"/>
    <w:rsid w:val="00897C16"/>
    <w:rsid w:val="008A515D"/>
    <w:rsid w:val="008A6918"/>
    <w:rsid w:val="008B6C2F"/>
    <w:rsid w:val="008C37BE"/>
    <w:rsid w:val="008C47D6"/>
    <w:rsid w:val="008C76E4"/>
    <w:rsid w:val="008D0A17"/>
    <w:rsid w:val="008D17E5"/>
    <w:rsid w:val="008D6725"/>
    <w:rsid w:val="008D6A70"/>
    <w:rsid w:val="008D78FF"/>
    <w:rsid w:val="008E0248"/>
    <w:rsid w:val="008E2ECE"/>
    <w:rsid w:val="008E45A6"/>
    <w:rsid w:val="008E69C9"/>
    <w:rsid w:val="008F122D"/>
    <w:rsid w:val="008F48C1"/>
    <w:rsid w:val="008F4C9D"/>
    <w:rsid w:val="008F5394"/>
    <w:rsid w:val="008F5C80"/>
    <w:rsid w:val="0090048A"/>
    <w:rsid w:val="0090395A"/>
    <w:rsid w:val="0090449A"/>
    <w:rsid w:val="0090536A"/>
    <w:rsid w:val="009062D3"/>
    <w:rsid w:val="00906840"/>
    <w:rsid w:val="00906909"/>
    <w:rsid w:val="00911B94"/>
    <w:rsid w:val="00912F3B"/>
    <w:rsid w:val="00914CB3"/>
    <w:rsid w:val="00916054"/>
    <w:rsid w:val="00916509"/>
    <w:rsid w:val="009243DD"/>
    <w:rsid w:val="0092468A"/>
    <w:rsid w:val="00925417"/>
    <w:rsid w:val="00925C96"/>
    <w:rsid w:val="00927127"/>
    <w:rsid w:val="00932BAE"/>
    <w:rsid w:val="00932C66"/>
    <w:rsid w:val="009347CA"/>
    <w:rsid w:val="00937618"/>
    <w:rsid w:val="00940388"/>
    <w:rsid w:val="009414BE"/>
    <w:rsid w:val="00944628"/>
    <w:rsid w:val="00944903"/>
    <w:rsid w:val="00945AEE"/>
    <w:rsid w:val="0094732D"/>
    <w:rsid w:val="00953044"/>
    <w:rsid w:val="0095696B"/>
    <w:rsid w:val="00962CEA"/>
    <w:rsid w:val="00963AD5"/>
    <w:rsid w:val="0096699E"/>
    <w:rsid w:val="009741BB"/>
    <w:rsid w:val="00976DE4"/>
    <w:rsid w:val="00981D69"/>
    <w:rsid w:val="0099344A"/>
    <w:rsid w:val="00995388"/>
    <w:rsid w:val="009A164D"/>
    <w:rsid w:val="009A35C7"/>
    <w:rsid w:val="009A38AD"/>
    <w:rsid w:val="009A4789"/>
    <w:rsid w:val="009B0DB2"/>
    <w:rsid w:val="009B2624"/>
    <w:rsid w:val="009B2F66"/>
    <w:rsid w:val="009B4731"/>
    <w:rsid w:val="009B47D1"/>
    <w:rsid w:val="009B60FF"/>
    <w:rsid w:val="009B623D"/>
    <w:rsid w:val="009C034F"/>
    <w:rsid w:val="009C2CF9"/>
    <w:rsid w:val="009C34B1"/>
    <w:rsid w:val="009C412F"/>
    <w:rsid w:val="009C7064"/>
    <w:rsid w:val="009D10C0"/>
    <w:rsid w:val="009D6B85"/>
    <w:rsid w:val="009E116E"/>
    <w:rsid w:val="009E182A"/>
    <w:rsid w:val="009E1AEA"/>
    <w:rsid w:val="009E604D"/>
    <w:rsid w:val="009E66C4"/>
    <w:rsid w:val="009E7DF3"/>
    <w:rsid w:val="009F37B4"/>
    <w:rsid w:val="009F7943"/>
    <w:rsid w:val="00A14437"/>
    <w:rsid w:val="00A15971"/>
    <w:rsid w:val="00A20A03"/>
    <w:rsid w:val="00A30576"/>
    <w:rsid w:val="00A30F97"/>
    <w:rsid w:val="00A326B1"/>
    <w:rsid w:val="00A34AC6"/>
    <w:rsid w:val="00A37760"/>
    <w:rsid w:val="00A419B3"/>
    <w:rsid w:val="00A425FC"/>
    <w:rsid w:val="00A44590"/>
    <w:rsid w:val="00A47339"/>
    <w:rsid w:val="00A47536"/>
    <w:rsid w:val="00A52937"/>
    <w:rsid w:val="00A52BA6"/>
    <w:rsid w:val="00A54D4C"/>
    <w:rsid w:val="00A55C87"/>
    <w:rsid w:val="00A6113D"/>
    <w:rsid w:val="00A6164F"/>
    <w:rsid w:val="00A62C9B"/>
    <w:rsid w:val="00A806F1"/>
    <w:rsid w:val="00A92DAD"/>
    <w:rsid w:val="00A95A2B"/>
    <w:rsid w:val="00A963C3"/>
    <w:rsid w:val="00AA2804"/>
    <w:rsid w:val="00AA46D0"/>
    <w:rsid w:val="00AA5C4F"/>
    <w:rsid w:val="00AA5F61"/>
    <w:rsid w:val="00AB067F"/>
    <w:rsid w:val="00AB0D9C"/>
    <w:rsid w:val="00AB248D"/>
    <w:rsid w:val="00AB2498"/>
    <w:rsid w:val="00AB2B93"/>
    <w:rsid w:val="00AB488D"/>
    <w:rsid w:val="00AB5B30"/>
    <w:rsid w:val="00AC0231"/>
    <w:rsid w:val="00AC51C0"/>
    <w:rsid w:val="00AD01D2"/>
    <w:rsid w:val="00AD0CD9"/>
    <w:rsid w:val="00AD1A52"/>
    <w:rsid w:val="00AD2F9E"/>
    <w:rsid w:val="00AD452A"/>
    <w:rsid w:val="00AD5849"/>
    <w:rsid w:val="00AE05F1"/>
    <w:rsid w:val="00AE1659"/>
    <w:rsid w:val="00AE51EC"/>
    <w:rsid w:val="00AE52B6"/>
    <w:rsid w:val="00AE6E0C"/>
    <w:rsid w:val="00AF1E99"/>
    <w:rsid w:val="00AF32A9"/>
    <w:rsid w:val="00B008D3"/>
    <w:rsid w:val="00B014C2"/>
    <w:rsid w:val="00B033B8"/>
    <w:rsid w:val="00B10ABC"/>
    <w:rsid w:val="00B17C2B"/>
    <w:rsid w:val="00B219DE"/>
    <w:rsid w:val="00B221CA"/>
    <w:rsid w:val="00B23B0C"/>
    <w:rsid w:val="00B26A25"/>
    <w:rsid w:val="00B30133"/>
    <w:rsid w:val="00B30ED0"/>
    <w:rsid w:val="00B31842"/>
    <w:rsid w:val="00B37ECA"/>
    <w:rsid w:val="00B4309E"/>
    <w:rsid w:val="00B44F6E"/>
    <w:rsid w:val="00B45132"/>
    <w:rsid w:val="00B45711"/>
    <w:rsid w:val="00B46611"/>
    <w:rsid w:val="00B54EDA"/>
    <w:rsid w:val="00B6151B"/>
    <w:rsid w:val="00B62197"/>
    <w:rsid w:val="00B626F8"/>
    <w:rsid w:val="00B67838"/>
    <w:rsid w:val="00B74BCA"/>
    <w:rsid w:val="00B7508C"/>
    <w:rsid w:val="00B7774A"/>
    <w:rsid w:val="00B80ACC"/>
    <w:rsid w:val="00B81E82"/>
    <w:rsid w:val="00B82499"/>
    <w:rsid w:val="00B85F43"/>
    <w:rsid w:val="00B912E7"/>
    <w:rsid w:val="00B931D1"/>
    <w:rsid w:val="00B97180"/>
    <w:rsid w:val="00BA0A22"/>
    <w:rsid w:val="00BA7293"/>
    <w:rsid w:val="00BB09C5"/>
    <w:rsid w:val="00BB1832"/>
    <w:rsid w:val="00BB4180"/>
    <w:rsid w:val="00BB6516"/>
    <w:rsid w:val="00BB6D20"/>
    <w:rsid w:val="00BC06E8"/>
    <w:rsid w:val="00BC16B4"/>
    <w:rsid w:val="00BC1DE4"/>
    <w:rsid w:val="00BC262B"/>
    <w:rsid w:val="00BC486B"/>
    <w:rsid w:val="00BC4AAD"/>
    <w:rsid w:val="00BC51A3"/>
    <w:rsid w:val="00BC70FB"/>
    <w:rsid w:val="00BD1934"/>
    <w:rsid w:val="00BD22EA"/>
    <w:rsid w:val="00BE0EC8"/>
    <w:rsid w:val="00BE1338"/>
    <w:rsid w:val="00BE32A5"/>
    <w:rsid w:val="00BE4892"/>
    <w:rsid w:val="00BF1311"/>
    <w:rsid w:val="00BF13E2"/>
    <w:rsid w:val="00C044F2"/>
    <w:rsid w:val="00C04B3F"/>
    <w:rsid w:val="00C0764D"/>
    <w:rsid w:val="00C10CEA"/>
    <w:rsid w:val="00C11C6A"/>
    <w:rsid w:val="00C12C72"/>
    <w:rsid w:val="00C1663D"/>
    <w:rsid w:val="00C16BBF"/>
    <w:rsid w:val="00C20EF9"/>
    <w:rsid w:val="00C21702"/>
    <w:rsid w:val="00C257B7"/>
    <w:rsid w:val="00C307D2"/>
    <w:rsid w:val="00C31F73"/>
    <w:rsid w:val="00C32F05"/>
    <w:rsid w:val="00C3627B"/>
    <w:rsid w:val="00C37B14"/>
    <w:rsid w:val="00C40FDA"/>
    <w:rsid w:val="00C43F6F"/>
    <w:rsid w:val="00C5549D"/>
    <w:rsid w:val="00C55FF6"/>
    <w:rsid w:val="00C57AFF"/>
    <w:rsid w:val="00C65170"/>
    <w:rsid w:val="00C7152A"/>
    <w:rsid w:val="00C73441"/>
    <w:rsid w:val="00C73791"/>
    <w:rsid w:val="00C82A06"/>
    <w:rsid w:val="00C82B27"/>
    <w:rsid w:val="00C85068"/>
    <w:rsid w:val="00C852AB"/>
    <w:rsid w:val="00CA0B13"/>
    <w:rsid w:val="00CA0B16"/>
    <w:rsid w:val="00CA181C"/>
    <w:rsid w:val="00CA334F"/>
    <w:rsid w:val="00CA48CD"/>
    <w:rsid w:val="00CA4ADF"/>
    <w:rsid w:val="00CA5DE0"/>
    <w:rsid w:val="00CA6526"/>
    <w:rsid w:val="00CA7E59"/>
    <w:rsid w:val="00CB0847"/>
    <w:rsid w:val="00CB2CB2"/>
    <w:rsid w:val="00CB4D81"/>
    <w:rsid w:val="00CB5D7B"/>
    <w:rsid w:val="00CB6A16"/>
    <w:rsid w:val="00CB7A76"/>
    <w:rsid w:val="00CC76C2"/>
    <w:rsid w:val="00CD2155"/>
    <w:rsid w:val="00CD45F0"/>
    <w:rsid w:val="00CE09F6"/>
    <w:rsid w:val="00CE46A5"/>
    <w:rsid w:val="00CE5A53"/>
    <w:rsid w:val="00CF05DA"/>
    <w:rsid w:val="00CF370C"/>
    <w:rsid w:val="00CF5C7C"/>
    <w:rsid w:val="00D03BE9"/>
    <w:rsid w:val="00D07CDB"/>
    <w:rsid w:val="00D11D2F"/>
    <w:rsid w:val="00D135FA"/>
    <w:rsid w:val="00D16BE8"/>
    <w:rsid w:val="00D17FC9"/>
    <w:rsid w:val="00D215C9"/>
    <w:rsid w:val="00D25DF0"/>
    <w:rsid w:val="00D30469"/>
    <w:rsid w:val="00D315BC"/>
    <w:rsid w:val="00D33BC8"/>
    <w:rsid w:val="00D347F4"/>
    <w:rsid w:val="00D402F5"/>
    <w:rsid w:val="00D5184D"/>
    <w:rsid w:val="00D51E6D"/>
    <w:rsid w:val="00D62CCB"/>
    <w:rsid w:val="00D67E3F"/>
    <w:rsid w:val="00D71175"/>
    <w:rsid w:val="00D7256E"/>
    <w:rsid w:val="00D74282"/>
    <w:rsid w:val="00D751F5"/>
    <w:rsid w:val="00D84793"/>
    <w:rsid w:val="00D87E7B"/>
    <w:rsid w:val="00D97223"/>
    <w:rsid w:val="00DA61A3"/>
    <w:rsid w:val="00DA7414"/>
    <w:rsid w:val="00DB28DC"/>
    <w:rsid w:val="00DB35ED"/>
    <w:rsid w:val="00DB3BCB"/>
    <w:rsid w:val="00DB6973"/>
    <w:rsid w:val="00DC3091"/>
    <w:rsid w:val="00DC406B"/>
    <w:rsid w:val="00DC44CC"/>
    <w:rsid w:val="00DC4C6D"/>
    <w:rsid w:val="00DD0266"/>
    <w:rsid w:val="00DD28ED"/>
    <w:rsid w:val="00DD32A1"/>
    <w:rsid w:val="00DD3C99"/>
    <w:rsid w:val="00DD42C2"/>
    <w:rsid w:val="00DD50FD"/>
    <w:rsid w:val="00DD7A97"/>
    <w:rsid w:val="00DE043D"/>
    <w:rsid w:val="00DE1404"/>
    <w:rsid w:val="00DE53FB"/>
    <w:rsid w:val="00DE5D69"/>
    <w:rsid w:val="00DE67FC"/>
    <w:rsid w:val="00DF0077"/>
    <w:rsid w:val="00DF0637"/>
    <w:rsid w:val="00DF0A7E"/>
    <w:rsid w:val="00DF4F04"/>
    <w:rsid w:val="00DF6B2B"/>
    <w:rsid w:val="00E007C1"/>
    <w:rsid w:val="00E03A78"/>
    <w:rsid w:val="00E07DF2"/>
    <w:rsid w:val="00E10D14"/>
    <w:rsid w:val="00E147E0"/>
    <w:rsid w:val="00E22EBE"/>
    <w:rsid w:val="00E26AAA"/>
    <w:rsid w:val="00E26E54"/>
    <w:rsid w:val="00E374A8"/>
    <w:rsid w:val="00E4147B"/>
    <w:rsid w:val="00E42E89"/>
    <w:rsid w:val="00E45814"/>
    <w:rsid w:val="00E47E61"/>
    <w:rsid w:val="00E53C62"/>
    <w:rsid w:val="00E60458"/>
    <w:rsid w:val="00E65238"/>
    <w:rsid w:val="00E65F36"/>
    <w:rsid w:val="00E65F64"/>
    <w:rsid w:val="00E67992"/>
    <w:rsid w:val="00E70B81"/>
    <w:rsid w:val="00E73425"/>
    <w:rsid w:val="00E76A2A"/>
    <w:rsid w:val="00E77E51"/>
    <w:rsid w:val="00E90C7E"/>
    <w:rsid w:val="00E91702"/>
    <w:rsid w:val="00E93D72"/>
    <w:rsid w:val="00E96283"/>
    <w:rsid w:val="00E97753"/>
    <w:rsid w:val="00EA2820"/>
    <w:rsid w:val="00EA50BA"/>
    <w:rsid w:val="00EA5412"/>
    <w:rsid w:val="00EA57EF"/>
    <w:rsid w:val="00EB03F5"/>
    <w:rsid w:val="00EB1BE8"/>
    <w:rsid w:val="00EB263C"/>
    <w:rsid w:val="00EC2AD9"/>
    <w:rsid w:val="00EC4B9A"/>
    <w:rsid w:val="00EC59C9"/>
    <w:rsid w:val="00EC5C1C"/>
    <w:rsid w:val="00ED29AD"/>
    <w:rsid w:val="00ED377B"/>
    <w:rsid w:val="00ED6A1E"/>
    <w:rsid w:val="00EE1948"/>
    <w:rsid w:val="00EE2B7B"/>
    <w:rsid w:val="00EE424E"/>
    <w:rsid w:val="00EE4FC3"/>
    <w:rsid w:val="00EF0674"/>
    <w:rsid w:val="00EF26A5"/>
    <w:rsid w:val="00EF335B"/>
    <w:rsid w:val="00EF662A"/>
    <w:rsid w:val="00EF6E5B"/>
    <w:rsid w:val="00EF7A99"/>
    <w:rsid w:val="00EF7D9D"/>
    <w:rsid w:val="00F010E4"/>
    <w:rsid w:val="00F02C31"/>
    <w:rsid w:val="00F067B2"/>
    <w:rsid w:val="00F103C0"/>
    <w:rsid w:val="00F15932"/>
    <w:rsid w:val="00F210C4"/>
    <w:rsid w:val="00F213B5"/>
    <w:rsid w:val="00F24674"/>
    <w:rsid w:val="00F25271"/>
    <w:rsid w:val="00F258DB"/>
    <w:rsid w:val="00F27161"/>
    <w:rsid w:val="00F2761A"/>
    <w:rsid w:val="00F303C0"/>
    <w:rsid w:val="00F3042A"/>
    <w:rsid w:val="00F34F76"/>
    <w:rsid w:val="00F35826"/>
    <w:rsid w:val="00F3582A"/>
    <w:rsid w:val="00F45FC6"/>
    <w:rsid w:val="00F53491"/>
    <w:rsid w:val="00F54C76"/>
    <w:rsid w:val="00F621F0"/>
    <w:rsid w:val="00F6350C"/>
    <w:rsid w:val="00F6526D"/>
    <w:rsid w:val="00F73226"/>
    <w:rsid w:val="00F73CBA"/>
    <w:rsid w:val="00F73E4D"/>
    <w:rsid w:val="00F74837"/>
    <w:rsid w:val="00F766B8"/>
    <w:rsid w:val="00F768B2"/>
    <w:rsid w:val="00F80221"/>
    <w:rsid w:val="00F86808"/>
    <w:rsid w:val="00F942CC"/>
    <w:rsid w:val="00F94B10"/>
    <w:rsid w:val="00F9656B"/>
    <w:rsid w:val="00FA1245"/>
    <w:rsid w:val="00FA1511"/>
    <w:rsid w:val="00FA2035"/>
    <w:rsid w:val="00FA22E4"/>
    <w:rsid w:val="00FA3614"/>
    <w:rsid w:val="00FA6053"/>
    <w:rsid w:val="00FA6507"/>
    <w:rsid w:val="00FB1448"/>
    <w:rsid w:val="00FB2469"/>
    <w:rsid w:val="00FC1889"/>
    <w:rsid w:val="00FC4CC7"/>
    <w:rsid w:val="00FC6E18"/>
    <w:rsid w:val="00FD42A6"/>
    <w:rsid w:val="00FE7777"/>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EE-paragrCharCharChar1">
    <w:name w:val="EE-paragr Char Char Char1"/>
    <w:basedOn w:val="DefaultParagraphFont"/>
    <w:link w:val="EE-paragrCharChar"/>
    <w:locked/>
    <w:rsid w:val="00485772"/>
    <w:rPr>
      <w:bCs/>
      <w:sz w:val="28"/>
      <w:szCs w:val="28"/>
    </w:rPr>
  </w:style>
  <w:style w:type="paragraph" w:customStyle="1" w:styleId="EE-paragrCharChar">
    <w:name w:val="EE-paragr Char Char"/>
    <w:basedOn w:val="Normal"/>
    <w:link w:val="EE-paragrCharCharChar1"/>
    <w:autoRedefine/>
    <w:rsid w:val="00485772"/>
    <w:pPr>
      <w:spacing w:after="60"/>
      <w:ind w:firstLine="421"/>
      <w:jc w:val="both"/>
    </w:pPr>
    <w:rPr>
      <w:bCs/>
      <w:sz w:val="28"/>
      <w:szCs w:val="28"/>
      <w:lang w:val="lv-LV" w:eastAsia="lv-LV"/>
    </w:rPr>
  </w:style>
  <w:style w:type="character" w:customStyle="1" w:styleId="st1">
    <w:name w:val="st1"/>
    <w:basedOn w:val="DefaultParagraphFont"/>
    <w:rsid w:val="00485772"/>
  </w:style>
  <w:style w:type="character" w:styleId="CommentReference">
    <w:name w:val="annotation reference"/>
    <w:basedOn w:val="DefaultParagraphFont"/>
    <w:uiPriority w:val="99"/>
    <w:semiHidden/>
    <w:unhideWhenUsed/>
    <w:rsid w:val="00485772"/>
    <w:rPr>
      <w:sz w:val="16"/>
      <w:szCs w:val="16"/>
    </w:rPr>
  </w:style>
  <w:style w:type="paragraph" w:styleId="CommentText">
    <w:name w:val="annotation text"/>
    <w:basedOn w:val="Normal"/>
    <w:link w:val="CommentTextChar"/>
    <w:uiPriority w:val="99"/>
    <w:semiHidden/>
    <w:unhideWhenUsed/>
    <w:rsid w:val="00C73441"/>
    <w:pPr>
      <w:spacing w:after="200" w:line="276" w:lineRule="auto"/>
    </w:pPr>
    <w:rPr>
      <w:rFonts w:ascii="Calibri" w:hAnsi="Calibri"/>
      <w:lang w:val="lv-LV"/>
    </w:rPr>
  </w:style>
  <w:style w:type="character" w:customStyle="1" w:styleId="CommentTextChar">
    <w:name w:val="Comment Text Char"/>
    <w:basedOn w:val="DefaultParagraphFont"/>
    <w:link w:val="CommentText"/>
    <w:uiPriority w:val="99"/>
    <w:semiHidden/>
    <w:rsid w:val="00C73441"/>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information_society/digital-agenda/index_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OJ:L:2008:214:0003:01:LV:HTML" TargetMode="External"/><Relationship Id="rId4" Type="http://schemas.openxmlformats.org/officeDocument/2006/relationships/settings" Target="settings.xml"/><Relationship Id="rId9" Type="http://schemas.openxmlformats.org/officeDocument/2006/relationships/hyperlink" Target="http://212.70.165.10/ricibas-jomas/ES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34E7B2-ECF3-4E1E-8BB6-7AB597D4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2033</Words>
  <Characters>15010</Characters>
  <Application>Microsoft Office Word</Application>
  <DocSecurity>0</DocSecurity>
  <Lines>555</Lines>
  <Paragraphs>210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16833</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sākotnējās ietekmes novērtējuma ziņojums (anotācija)</dc:title>
  <dc:subject>Anotācija</dc:subject>
  <dc:creator>Māris Krūmiņš</dc:creator>
  <dc:description>Maris.Krumins@em.gov.lv, 67013082</dc:description>
  <cp:lastModifiedBy>kruminsM</cp:lastModifiedBy>
  <cp:revision>65</cp:revision>
  <cp:lastPrinted>2010-03-29T10:15:00Z</cp:lastPrinted>
  <dcterms:created xsi:type="dcterms:W3CDTF">2010-09-30T08:13:00Z</dcterms:created>
  <dcterms:modified xsi:type="dcterms:W3CDTF">2011-10-06T12:04:00Z</dcterms:modified>
</cp:coreProperties>
</file>